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0" w:rsidRDefault="00FA1C00">
      <w:pPr>
        <w:rPr>
          <w:lang w:val="es-CO"/>
        </w:rPr>
      </w:pPr>
      <w:r>
        <w:rPr>
          <w:lang w:val="es-CO"/>
        </w:rPr>
        <w:t>TEMA: Ley de Apoyo</w:t>
      </w:r>
    </w:p>
    <w:p w:rsidR="003B0C6F" w:rsidRDefault="003B0C6F">
      <w:pPr>
        <w:rPr>
          <w:lang w:val="es-CO"/>
        </w:rPr>
      </w:pPr>
      <w:r>
        <w:rPr>
          <w:lang w:val="es-CO"/>
        </w:rPr>
        <w:t>DELEGATURA: De lo Penal y Familia</w:t>
      </w:r>
    </w:p>
    <w:p w:rsidR="003B0C6F" w:rsidRDefault="003B0C6F">
      <w:pPr>
        <w:rPr>
          <w:lang w:val="es-CO"/>
        </w:rPr>
      </w:pPr>
    </w:p>
    <w:p w:rsidR="00FA1C00" w:rsidRDefault="00FA1C00">
      <w:pPr>
        <w:rPr>
          <w:lang w:val="es-CO"/>
        </w:rPr>
      </w:pPr>
    </w:p>
    <w:tbl>
      <w:tblPr>
        <w:tblStyle w:val="Tablaconcuadrcula"/>
        <w:tblpPr w:leftFromText="141" w:rightFromText="141" w:vertAnchor="text" w:horzAnchor="margin" w:tblpY="-290"/>
        <w:tblW w:w="0" w:type="auto"/>
        <w:tblLook w:val="04A0"/>
      </w:tblPr>
      <w:tblGrid>
        <w:gridCol w:w="633"/>
        <w:gridCol w:w="933"/>
        <w:gridCol w:w="1095"/>
        <w:gridCol w:w="1017"/>
        <w:gridCol w:w="1250"/>
        <w:gridCol w:w="3118"/>
        <w:gridCol w:w="1701"/>
        <w:gridCol w:w="5670"/>
      </w:tblGrid>
      <w:tr w:rsidR="003B0C6F" w:rsidRPr="00CC18DB" w:rsidTr="0061064D">
        <w:tc>
          <w:tcPr>
            <w:tcW w:w="633" w:type="dxa"/>
            <w:shd w:val="clear" w:color="auto" w:fill="BFBFBF" w:themeFill="background1" w:themeFillShade="BF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3" w:type="dxa"/>
            <w:shd w:val="clear" w:color="auto" w:fill="BFBFBF" w:themeFill="background1" w:themeFillShade="BF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>PLANO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IMG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 xml:space="preserve">Sonido 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3B0C6F" w:rsidRDefault="00FA2562" w:rsidP="00C169F1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LENGUA</w:t>
            </w:r>
          </w:p>
          <w:p w:rsidR="00FA2562" w:rsidRPr="00CC18DB" w:rsidRDefault="00FA2562" w:rsidP="00C169F1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SEÑAS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3B0C6F" w:rsidRPr="00CC18DB" w:rsidRDefault="0061064D" w:rsidP="0061064D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PNG ANIMADO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Fotos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3B0C6F" w:rsidRPr="00CC18DB" w:rsidRDefault="0061064D" w:rsidP="00C169F1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SUBTÍTULOS</w:t>
            </w:r>
          </w:p>
        </w:tc>
      </w:tr>
      <w:tr w:rsidR="003B0C6F" w:rsidRPr="00CC18DB" w:rsidTr="0061064D">
        <w:tc>
          <w:tcPr>
            <w:tcW w:w="633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INTRO</w:t>
            </w:r>
          </w:p>
        </w:tc>
        <w:tc>
          <w:tcPr>
            <w:tcW w:w="1017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3B0C6F" w:rsidRPr="00CC18DB" w:rsidTr="0061064D">
        <w:tc>
          <w:tcPr>
            <w:tcW w:w="633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B0C6F" w:rsidRPr="00CC18DB" w:rsidRDefault="0061064D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ley</w:t>
            </w:r>
          </w:p>
        </w:tc>
        <w:tc>
          <w:tcPr>
            <w:tcW w:w="1017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FOTOGRAFIAS</w:t>
            </w:r>
          </w:p>
        </w:tc>
        <w:tc>
          <w:tcPr>
            <w:tcW w:w="5670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3B0C6F" w:rsidRPr="00CC18DB" w:rsidTr="0061064D">
        <w:tc>
          <w:tcPr>
            <w:tcW w:w="633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3.01</w:t>
            </w:r>
          </w:p>
        </w:tc>
        <w:tc>
          <w:tcPr>
            <w:tcW w:w="933" w:type="dxa"/>
          </w:tcPr>
          <w:p w:rsidR="003B0C6F" w:rsidRPr="00CC18DB" w:rsidRDefault="0061064D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P.M.</w:t>
            </w:r>
          </w:p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04</w:t>
            </w:r>
          </w:p>
        </w:tc>
        <w:tc>
          <w:tcPr>
            <w:tcW w:w="1095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3B0C6F" w:rsidRPr="00CC18DB" w:rsidRDefault="003B0C6F" w:rsidP="00C169F1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1250" w:type="dxa"/>
          </w:tcPr>
          <w:p w:rsidR="003B0C6F" w:rsidRPr="00CC18DB" w:rsidRDefault="00E81C5C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301-4</w:t>
            </w:r>
          </w:p>
        </w:tc>
        <w:tc>
          <w:tcPr>
            <w:tcW w:w="3118" w:type="dxa"/>
          </w:tcPr>
          <w:p w:rsidR="00C169F1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Tema: Ley de apoyo </w:t>
            </w:r>
          </w:p>
          <w:p w:rsidR="00C169F1" w:rsidRDefault="00C169F1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C169F1" w:rsidRPr="00CC18DB" w:rsidRDefault="00C169F1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proofErr w:type="spellStart"/>
            <w:r w:rsidRPr="00CC18DB">
              <w:rPr>
                <w:sz w:val="20"/>
                <w:szCs w:val="20"/>
              </w:rPr>
              <w:t>Liss</w:t>
            </w:r>
            <w:proofErr w:type="spellEnd"/>
            <w:r w:rsidRPr="00CC18DB">
              <w:rPr>
                <w:sz w:val="20"/>
                <w:szCs w:val="20"/>
              </w:rPr>
              <w:t xml:space="preserve"> </w:t>
            </w:r>
            <w:proofErr w:type="spellStart"/>
            <w:r w:rsidRPr="00CC18DB">
              <w:rPr>
                <w:sz w:val="20"/>
                <w:szCs w:val="20"/>
              </w:rPr>
              <w:t>Mayiberth</w:t>
            </w:r>
            <w:proofErr w:type="spellEnd"/>
            <w:r w:rsidRPr="00CC18DB">
              <w:rPr>
                <w:sz w:val="20"/>
                <w:szCs w:val="20"/>
              </w:rPr>
              <w:t xml:space="preserve"> Duarte </w:t>
            </w:r>
            <w:proofErr w:type="spellStart"/>
            <w:r w:rsidRPr="00CC18DB">
              <w:rPr>
                <w:sz w:val="20"/>
                <w:szCs w:val="20"/>
              </w:rPr>
              <w:t>Váquez</w:t>
            </w:r>
            <w:proofErr w:type="spellEnd"/>
            <w:r w:rsidRPr="00CC18DB">
              <w:rPr>
                <w:sz w:val="20"/>
                <w:szCs w:val="20"/>
              </w:rPr>
              <w:t xml:space="preserve"> </w:t>
            </w:r>
          </w:p>
          <w:p w:rsidR="00C169F1" w:rsidRPr="00CC18DB" w:rsidRDefault="00C169F1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Delegada para lo penal y familia </w:t>
            </w:r>
          </w:p>
          <w:p w:rsidR="003B0C6F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C169F1" w:rsidRDefault="00C169F1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Ley 1996 de 2019</w:t>
            </w:r>
          </w:p>
          <w:p w:rsidR="00C169F1" w:rsidRDefault="00C169F1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C169F1" w:rsidRPr="00CC18DB" w:rsidRDefault="00C169F1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0C6F" w:rsidRPr="00CC18DB" w:rsidRDefault="0061064D" w:rsidP="00C169F1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 2</w:t>
            </w:r>
          </w:p>
        </w:tc>
        <w:tc>
          <w:tcPr>
            <w:tcW w:w="5670" w:type="dxa"/>
          </w:tcPr>
          <w:p w:rsidR="003B0C6F" w:rsidRPr="00CC18DB" w:rsidRDefault="003B0C6F" w:rsidP="00C169F1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La </w:t>
            </w:r>
            <w:proofErr w:type="spellStart"/>
            <w:r w:rsidRPr="00CC18DB">
              <w:rPr>
                <w:sz w:val="20"/>
                <w:szCs w:val="20"/>
              </w:rPr>
              <w:t>delegatura</w:t>
            </w:r>
            <w:proofErr w:type="spellEnd"/>
            <w:r w:rsidRPr="00CC18DB">
              <w:rPr>
                <w:sz w:val="20"/>
                <w:szCs w:val="20"/>
              </w:rPr>
              <w:t xml:space="preserve"> de penal y familia adscrita a la personería de Itagüí, implemento y desarrollo la ley 1996 de 2019, más conocida como la ley de apoyo, ley de discapacidad, cuando hablamos de discapacidad estamos hablando  de aquellas personas que no puedan velar por </w:t>
            </w:r>
            <w:proofErr w:type="spellStart"/>
            <w:r w:rsidRPr="00CC18DB">
              <w:rPr>
                <w:sz w:val="20"/>
                <w:szCs w:val="20"/>
              </w:rPr>
              <w:t>si</w:t>
            </w:r>
            <w:proofErr w:type="spellEnd"/>
            <w:r w:rsidRPr="00CC18DB">
              <w:rPr>
                <w:sz w:val="20"/>
                <w:szCs w:val="20"/>
              </w:rPr>
              <w:t xml:space="preserve"> solo y necesite la adjudicación  de otra personas para que salvaguarde o garantice sus derechos fundamentales.</w:t>
            </w:r>
          </w:p>
        </w:tc>
      </w:tr>
      <w:tr w:rsidR="003B0C6F" w:rsidRPr="00CC18DB" w:rsidTr="0061064D">
        <w:tc>
          <w:tcPr>
            <w:tcW w:w="633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3.02</w:t>
            </w:r>
          </w:p>
        </w:tc>
        <w:tc>
          <w:tcPr>
            <w:tcW w:w="933" w:type="dxa"/>
          </w:tcPr>
          <w:p w:rsidR="003B0C6F" w:rsidRPr="00CC18DB" w:rsidRDefault="0061064D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P.M.</w:t>
            </w:r>
          </w:p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01</w:t>
            </w:r>
          </w:p>
        </w:tc>
        <w:tc>
          <w:tcPr>
            <w:tcW w:w="1095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3B0C6F" w:rsidRPr="00CC18DB" w:rsidRDefault="0061064D" w:rsidP="00C169F1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1250" w:type="dxa"/>
          </w:tcPr>
          <w:p w:rsidR="003B0C6F" w:rsidRPr="00CC18DB" w:rsidRDefault="00E81C5C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302-8</w:t>
            </w:r>
          </w:p>
        </w:tc>
        <w:tc>
          <w:tcPr>
            <w:tcW w:w="3118" w:type="dxa"/>
          </w:tcPr>
          <w:p w:rsidR="003B0C6F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61064D" w:rsidRDefault="0061064D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Valoraciones </w:t>
            </w:r>
          </w:p>
          <w:p w:rsidR="0061064D" w:rsidRDefault="0061064D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61064D" w:rsidRPr="00CC18DB" w:rsidRDefault="0061064D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demandas</w:t>
            </w:r>
          </w:p>
        </w:tc>
        <w:tc>
          <w:tcPr>
            <w:tcW w:w="1701" w:type="dxa"/>
          </w:tcPr>
          <w:p w:rsidR="003B0C6F" w:rsidRPr="00CC18DB" w:rsidRDefault="0061064D" w:rsidP="00C169F1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 Y 5</w:t>
            </w:r>
          </w:p>
        </w:tc>
        <w:tc>
          <w:tcPr>
            <w:tcW w:w="5670" w:type="dxa"/>
          </w:tcPr>
          <w:p w:rsidR="003B0C6F" w:rsidRPr="00CC18DB" w:rsidRDefault="003B0C6F" w:rsidP="00C169F1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La personería de Itagüí en el periodo del 1 de octubre de 2021 al 30 de octubre de 2022 realizo 13 demandas de ley de apoyo </w:t>
            </w:r>
            <w:proofErr w:type="spellStart"/>
            <w:r w:rsidRPr="00CC18DB">
              <w:rPr>
                <w:sz w:val="20"/>
                <w:szCs w:val="20"/>
              </w:rPr>
              <w:t>aperturadas</w:t>
            </w:r>
            <w:proofErr w:type="spellEnd"/>
            <w:r w:rsidRPr="00CC18DB">
              <w:rPr>
                <w:sz w:val="20"/>
                <w:szCs w:val="20"/>
              </w:rPr>
              <w:t xml:space="preserve"> en los juzgados de familia del municipio de Itagüí y realizo 61 valoraciones de ley de apoyo, la ley 1996 de 2019 vinculo a las personerías y a las  defensorías del pueblo a realizar estas valoraciones de apoyo que son muy diferentes a las demandas de ley de apoyo, pero la personería de Itagüí tomo como función de ayudar a los ciudadanos </w:t>
            </w:r>
            <w:proofErr w:type="spellStart"/>
            <w:r w:rsidRPr="00CC18DB">
              <w:rPr>
                <w:sz w:val="20"/>
                <w:szCs w:val="20"/>
              </w:rPr>
              <w:t>itaguiseños</w:t>
            </w:r>
            <w:proofErr w:type="spellEnd"/>
            <w:r w:rsidRPr="00CC18DB">
              <w:rPr>
                <w:sz w:val="20"/>
                <w:szCs w:val="20"/>
              </w:rPr>
              <w:t xml:space="preserve"> a realizar ese tipo de  demandas  de ley de apoyo para personas que no tengan recursos económicos  y no tenga la capacidad económica de sufragar los gastos procesales.</w:t>
            </w:r>
          </w:p>
        </w:tc>
      </w:tr>
      <w:tr w:rsidR="003B0C6F" w:rsidRPr="00CC18DB" w:rsidTr="0061064D">
        <w:tc>
          <w:tcPr>
            <w:tcW w:w="633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3B0C6F" w:rsidRPr="00CC18DB" w:rsidRDefault="0061064D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</w:t>
            </w:r>
          </w:p>
        </w:tc>
        <w:tc>
          <w:tcPr>
            <w:tcW w:w="1017" w:type="dxa"/>
          </w:tcPr>
          <w:p w:rsidR="003B0C6F" w:rsidRPr="00CC18DB" w:rsidRDefault="003B0C6F" w:rsidP="00C16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0C6F" w:rsidRPr="00CC18DB" w:rsidRDefault="003B0C6F" w:rsidP="00C16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3B0C6F" w:rsidRPr="00CC18DB" w:rsidRDefault="003B0C6F" w:rsidP="00C169F1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</w:tbl>
    <w:p w:rsidR="00FA1C00" w:rsidRDefault="00FA1C00">
      <w:pPr>
        <w:rPr>
          <w:lang w:val="es-CO"/>
        </w:rPr>
      </w:pPr>
    </w:p>
    <w:p w:rsidR="00FA1C00" w:rsidRDefault="00FA1C00">
      <w:pPr>
        <w:rPr>
          <w:lang w:val="es-CO"/>
        </w:rPr>
      </w:pPr>
    </w:p>
    <w:p w:rsidR="00FA1C00" w:rsidRDefault="00FA1C00">
      <w:pPr>
        <w:rPr>
          <w:lang w:val="es-CO"/>
        </w:rPr>
      </w:pPr>
    </w:p>
    <w:p w:rsidR="00FA1C00" w:rsidRPr="00FA1C00" w:rsidRDefault="00FA1C00">
      <w:pPr>
        <w:rPr>
          <w:lang w:val="es-CO"/>
        </w:rPr>
      </w:pPr>
    </w:p>
    <w:sectPr w:rsidR="00FA1C00" w:rsidRPr="00FA1C00" w:rsidSect="00FA1C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1C00"/>
    <w:rsid w:val="002D631F"/>
    <w:rsid w:val="003B0C6F"/>
    <w:rsid w:val="0061064D"/>
    <w:rsid w:val="00A550B8"/>
    <w:rsid w:val="00B97ED0"/>
    <w:rsid w:val="00C169F1"/>
    <w:rsid w:val="00CF6779"/>
    <w:rsid w:val="00D63D4B"/>
    <w:rsid w:val="00E81C5C"/>
    <w:rsid w:val="00FA1C00"/>
    <w:rsid w:val="00FA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1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A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1128418824</dc:creator>
  <cp:lastModifiedBy>1128418824</cp:lastModifiedBy>
  <cp:revision>1</cp:revision>
  <dcterms:created xsi:type="dcterms:W3CDTF">2022-11-02T16:44:00Z</dcterms:created>
  <dcterms:modified xsi:type="dcterms:W3CDTF">2022-11-02T19:23:00Z</dcterms:modified>
</cp:coreProperties>
</file>