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D7B58" w14:textId="77777777" w:rsidR="00A63A98" w:rsidRPr="00A63A98" w:rsidRDefault="00A63A98" w:rsidP="00A63A98">
      <w:pPr>
        <w:pStyle w:val="NormalWeb"/>
        <w:shd w:val="clear" w:color="auto" w:fill="FFFFFF"/>
        <w:spacing w:before="0" w:beforeAutospacing="0" w:after="142" w:afterAutospacing="0" w:line="252" w:lineRule="atLeast"/>
        <w:jc w:val="center"/>
        <w:rPr>
          <w:rFonts w:ascii="Bahnschrift Light" w:hAnsi="Bahnschrift Light" w:cs="Arial"/>
          <w:color w:val="000000"/>
          <w:sz w:val="28"/>
          <w:szCs w:val="28"/>
        </w:rPr>
      </w:pPr>
      <w:bookmarkStart w:id="0" w:name="_GoBack"/>
      <w:bookmarkEnd w:id="0"/>
    </w:p>
    <w:p w14:paraId="3721A554"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Señor</w:t>
      </w:r>
    </w:p>
    <w:p w14:paraId="20D0507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proofErr w:type="gramStart"/>
      <w:r w:rsidRPr="00A63A98">
        <w:rPr>
          <w:rFonts w:ascii="Bahnschrift Light" w:hAnsi="Bahnschrift Light" w:cs="Arial"/>
          <w:color w:val="000000"/>
          <w:sz w:val="28"/>
          <w:szCs w:val="28"/>
        </w:rPr>
        <w:t>JUEZ …</w:t>
      </w:r>
      <w:proofErr w:type="gramEnd"/>
      <w:r w:rsidRPr="00A63A98">
        <w:rPr>
          <w:rFonts w:ascii="Bahnschrift Light" w:hAnsi="Bahnschrift Light" w:cs="Arial"/>
          <w:color w:val="000000"/>
          <w:sz w:val="28"/>
          <w:szCs w:val="28"/>
        </w:rPr>
        <w:t>……………………..</w:t>
      </w:r>
    </w:p>
    <w:p w14:paraId="72ACEED3"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 S. D.</w:t>
      </w:r>
    </w:p>
    <w:p w14:paraId="6F531AEC"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623CBCC1"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4F221D0B"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Ref.:</w:t>
      </w:r>
      <w:r w:rsidRPr="00A63A98">
        <w:rPr>
          <w:rStyle w:val="Textoennegrita"/>
          <w:rFonts w:ascii="Calibri" w:hAnsi="Calibri" w:cs="Calibri"/>
          <w:color w:val="000000"/>
          <w:sz w:val="28"/>
          <w:szCs w:val="28"/>
        </w:rPr>
        <w:t> </w:t>
      </w:r>
      <w:r w:rsidRPr="00A63A98">
        <w:rPr>
          <w:rFonts w:ascii="Bahnschrift Light" w:hAnsi="Bahnschrift Light" w:cs="Arial"/>
          <w:color w:val="000000"/>
          <w:sz w:val="28"/>
          <w:szCs w:val="28"/>
        </w:rPr>
        <w:t>Acción de tutela</w:t>
      </w:r>
    </w:p>
    <w:p w14:paraId="6AC0FC2C"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Demandante:</w:t>
      </w:r>
      <w:r w:rsidRPr="00A63A98">
        <w:rPr>
          <w:rStyle w:val="Textoennegrita"/>
          <w:rFonts w:ascii="Calibri" w:hAnsi="Calibri" w:cs="Calibri"/>
          <w:color w:val="000000"/>
          <w:sz w:val="28"/>
          <w:szCs w:val="28"/>
        </w:rPr>
        <w:t> </w:t>
      </w:r>
      <w:r w:rsidRPr="00A63A98">
        <w:rPr>
          <w:rFonts w:ascii="Bahnschrift Light" w:hAnsi="Bahnschrift Light" w:cs="Arial"/>
          <w:color w:val="000000"/>
          <w:sz w:val="28"/>
          <w:szCs w:val="28"/>
        </w:rPr>
        <w:t>.................................</w:t>
      </w:r>
    </w:p>
    <w:p w14:paraId="0897014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Demandado:</w:t>
      </w:r>
      <w:r w:rsidRPr="00A63A98">
        <w:rPr>
          <w:rStyle w:val="Textoennegrita"/>
          <w:rFonts w:ascii="Calibri" w:hAnsi="Calibri" w:cs="Calibri"/>
          <w:color w:val="000000"/>
          <w:sz w:val="28"/>
          <w:szCs w:val="28"/>
        </w:rPr>
        <w:t> </w:t>
      </w:r>
      <w:r w:rsidRPr="00A63A98">
        <w:rPr>
          <w:rFonts w:ascii="Bahnschrift Light" w:hAnsi="Bahnschrift Light" w:cs="Arial"/>
          <w:color w:val="000000"/>
          <w:sz w:val="28"/>
          <w:szCs w:val="28"/>
        </w:rPr>
        <w:t>EPS correspondiente</w:t>
      </w:r>
    </w:p>
    <w:p w14:paraId="24189361"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DDAA583"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Yo ... mayor de edad, con domicilio en ... portador de la cédula de ciudadanía No. ... de..., actuando en mi propio nombre con todo respeto manifiesto a usted, que en ejerci</w:t>
      </w:r>
      <w:r w:rsidRPr="00A63A98">
        <w:rPr>
          <w:rFonts w:ascii="Bahnschrift Light" w:hAnsi="Bahnschrift Light" w:cs="Arial"/>
          <w:color w:val="000000"/>
          <w:sz w:val="28"/>
          <w:szCs w:val="28"/>
        </w:rPr>
        <w:softHyphen/>
        <w:t>cio del derecho de tutela consagrado en el artículo 86 de la Constitución Política y re</w:t>
      </w:r>
      <w:r w:rsidRPr="00A63A98">
        <w:rPr>
          <w:rFonts w:ascii="Bahnschrift Light" w:hAnsi="Bahnschrift Light" w:cs="Arial"/>
          <w:color w:val="000000"/>
          <w:sz w:val="28"/>
          <w:szCs w:val="28"/>
        </w:rPr>
        <w:softHyphen/>
        <w:t>glamentado por el Decreto 2591 de 1991, por medio del presente escrito formulo acción de tutela contra ... cuyo Representante Legal es el señor ... o quien haga sus veces, con domicilio en ... de esta ciudad, a fin de que se le ordene dentro de un plazo prudencial perentorio, en amparo de mi derecho fundamental a la salud, en conexidad con mi derecho fundamental a la vida se me conceda las peticiones que más adelante entro a de</w:t>
      </w:r>
      <w:r w:rsidRPr="00A63A98">
        <w:rPr>
          <w:rFonts w:ascii="Bahnschrift Light" w:hAnsi="Bahnschrift Light" w:cs="Arial"/>
          <w:color w:val="000000"/>
          <w:sz w:val="28"/>
          <w:szCs w:val="28"/>
        </w:rPr>
        <w:softHyphen/>
        <w:t>terminar con base en los siguientes:</w:t>
      </w:r>
    </w:p>
    <w:p w14:paraId="280C720D"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0801FF0"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HECHOS</w:t>
      </w:r>
    </w:p>
    <w:p w14:paraId="4E55EB0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126C8F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1. Yo ... celebré contrato de trabajo a término indefinido con la sociedad ... LTDA, es</w:t>
      </w:r>
      <w:r w:rsidRPr="00A63A98">
        <w:rPr>
          <w:rFonts w:ascii="Bahnschrift Light" w:hAnsi="Bahnschrift Light" w:cs="Arial"/>
          <w:color w:val="000000"/>
          <w:sz w:val="28"/>
          <w:szCs w:val="28"/>
        </w:rPr>
        <w:softHyphen/>
        <w:t>tando vigente la relación laboral actualmente.</w:t>
      </w:r>
    </w:p>
    <w:p w14:paraId="57F83AA4"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68EE8509"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2. La empresa me afilió a la EPS ... y en los primeros meses pagó la cotización, pero a partir de .... el empleador ha incurrido en mora.</w:t>
      </w:r>
    </w:p>
    <w:p w14:paraId="217293D8"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439E9CA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lastRenderedPageBreak/>
        <w:t>3. Requerí de un tratamiento quirúrgico y la EPS ... se ha negado a atenderme por el no pago de la cotización.</w:t>
      </w:r>
    </w:p>
    <w:p w14:paraId="36EDCFE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C4D7AB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4. La EPS ... corrobora lo de la afiliación y lo del no pago a partir de ... y con base en esto último explica por qué no se me prestan los servicios médicos.</w:t>
      </w:r>
    </w:p>
    <w:p w14:paraId="236A190C"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384FB548"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DERECHO FUNDAMENTAL VIOLADO</w:t>
      </w:r>
    </w:p>
    <w:p w14:paraId="64EA4F6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BF5818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Con la omisión por parte de la EPS demandada estimo se está violando el derecho a la salud en conexidad con el derecho fundamental a la vida e integridad personal en rela</w:t>
      </w:r>
      <w:r w:rsidRPr="00A63A98">
        <w:rPr>
          <w:rFonts w:ascii="Bahnschrift Light" w:hAnsi="Bahnschrift Light" w:cs="Arial"/>
          <w:color w:val="000000"/>
          <w:sz w:val="28"/>
          <w:szCs w:val="28"/>
        </w:rPr>
        <w:softHyphen/>
        <w:t>ción a los artículos 44, 47, 48 y 49 de la Constitución Política.</w:t>
      </w:r>
    </w:p>
    <w:p w14:paraId="6477FB93"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69FB322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CONCEPTO DE VIOLACIÓN</w:t>
      </w:r>
    </w:p>
    <w:p w14:paraId="64C1119C"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DCD740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Sostiene la Corte Constitucional:</w:t>
      </w:r>
    </w:p>
    <w:p w14:paraId="2DE8E8A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B329D78"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"La Ley 100 de 1993, artículo 154, señala que una de las facetas de la intervención del Estado es la de establecer la atención básica en salud, que se ofrecerá en forma gra</w:t>
      </w:r>
      <w:r w:rsidRPr="00A63A98">
        <w:rPr>
          <w:rFonts w:ascii="Bahnschrift Light" w:hAnsi="Bahnschrift Light" w:cs="Arial"/>
          <w:color w:val="000000"/>
          <w:sz w:val="28"/>
          <w:szCs w:val="28"/>
        </w:rPr>
        <w:softHyphen/>
        <w:t>tuita y obligatoria disposición que es proyección de aquella parte del artículo 49 de la Constitución que dice: "La ley señalará los términos en los cuales la atención básica para todos los habitantes será gratuita y obligatoria". El artículo 165 de la Ley 100/93 precisa cuál es la atención básica a la cual se refiere la Constitución:</w:t>
      </w:r>
    </w:p>
    <w:p w14:paraId="3FCFEB0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2678044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"Artículo 165. Atención Básica. El Ministerio de Salud definirá un Plan de Atención Básica que complemente las acciones previstas en el Plano Obligatorio de Sa</w:t>
      </w:r>
      <w:r w:rsidRPr="00A63A98">
        <w:rPr>
          <w:rFonts w:ascii="Bahnschrift Light" w:hAnsi="Bahnschrift Light" w:cs="Arial"/>
          <w:color w:val="000000"/>
          <w:sz w:val="28"/>
          <w:szCs w:val="28"/>
        </w:rPr>
        <w:softHyphen/>
        <w:t xml:space="preserve">lud de esta Ley y las acciones de saneamiento ambiental. Este plan estará constituido por aquellas intervenciones que se dirigen directamente a la colectividad o aquéllas que son </w:t>
      </w:r>
      <w:r w:rsidRPr="00A63A98">
        <w:rPr>
          <w:rFonts w:ascii="Bahnschrift Light" w:hAnsi="Bahnschrift Light" w:cs="Arial"/>
          <w:color w:val="000000"/>
          <w:sz w:val="28"/>
          <w:szCs w:val="28"/>
        </w:rPr>
        <w:lastRenderedPageBreak/>
        <w:t>dirigidas a los individuos pero tienen altas externalidades, tales como la informa</w:t>
      </w:r>
      <w:r w:rsidRPr="00A63A98">
        <w:rPr>
          <w:rFonts w:ascii="Bahnschrift Light" w:hAnsi="Bahnschrift Light" w:cs="Arial"/>
          <w:color w:val="000000"/>
          <w:sz w:val="28"/>
          <w:szCs w:val="28"/>
        </w:rPr>
        <w:softHyphen/>
        <w:t>ción pública, la educación y fomento de la salud, el control de consumo de tabaco, alco</w:t>
      </w:r>
      <w:r w:rsidRPr="00A63A98">
        <w:rPr>
          <w:rFonts w:ascii="Bahnschrift Light" w:hAnsi="Bahnschrift Light" w:cs="Arial"/>
          <w:color w:val="000000"/>
          <w:sz w:val="28"/>
          <w:szCs w:val="28"/>
        </w:rPr>
        <w:softHyphen/>
        <w:t>hol y sustancias psicoactivas, la complementación nutricional y planificación familiar, la desparasitación escolar, el control de vectores y las campañas nacionales de preven</w:t>
      </w:r>
      <w:r w:rsidRPr="00A63A98">
        <w:rPr>
          <w:rFonts w:ascii="Bahnschrift Light" w:hAnsi="Bahnschrift Light" w:cs="Arial"/>
          <w:color w:val="000000"/>
          <w:sz w:val="28"/>
          <w:szCs w:val="28"/>
        </w:rPr>
        <w:softHyphen/>
        <w:t>ción, detección precoz y control de enfermedades transmisibles como el sida, la tuber</w:t>
      </w:r>
      <w:r w:rsidRPr="00A63A98">
        <w:rPr>
          <w:rFonts w:ascii="Bahnschrift Light" w:hAnsi="Bahnschrift Light" w:cs="Arial"/>
          <w:color w:val="000000"/>
          <w:sz w:val="28"/>
          <w:szCs w:val="28"/>
        </w:rPr>
        <w:softHyphen/>
        <w:t>culosis y la lepra, y de enfermedades tropicales como la malaria.</w:t>
      </w:r>
    </w:p>
    <w:p w14:paraId="6548A2A8"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2E94EDD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La prestación del plan de atención será gratuita y obligatoria. La financiación de es</w:t>
      </w:r>
      <w:r w:rsidRPr="00A63A98">
        <w:rPr>
          <w:rFonts w:ascii="Bahnschrift Light" w:hAnsi="Bahnschrift Light" w:cs="Arial"/>
          <w:color w:val="000000"/>
          <w:sz w:val="28"/>
          <w:szCs w:val="28"/>
        </w:rPr>
        <w:softHyphen/>
        <w:t>te plan será garantizada por recursos fiscales del Gobierno Nacional, complementada con recursos de los entes territoriales."</w:t>
      </w:r>
    </w:p>
    <w:p w14:paraId="2274E650"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79B44E0C"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Luego, la obligación del Estado se limita al señalamiento que hace la ley.</w:t>
      </w:r>
    </w:p>
    <w:p w14:paraId="15230B0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7C6B28A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Se dijo en la sentencia SU-480/97 que dentro de la organización del Sistema General de Seguridad Social en Salud, la Constitución, artículos 48 y 49, y la Ley 100 de 1993, permi</w:t>
      </w:r>
      <w:r w:rsidRPr="00A63A98">
        <w:rPr>
          <w:rFonts w:ascii="Bahnschrift Light" w:hAnsi="Bahnschrift Light" w:cs="Arial"/>
          <w:color w:val="000000"/>
          <w:sz w:val="28"/>
          <w:szCs w:val="28"/>
        </w:rPr>
        <w:softHyphen/>
        <w:t>ten la existencia de las Entidades Promotoras de Salud, de carácter privado, que prestan el servicio según delegación que el Estado hace.</w:t>
      </w:r>
    </w:p>
    <w:p w14:paraId="3603FE24"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23972A2"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"Artículo 177. Ley 100. Definición. Las Entidades Promotoras de Salud son las entidades responsables de la afiliación, y el registro de los afiliados y del recaudo de sus cotizaciones, por delegación del Fondo de Solidaridad y Garantía. Su función básica será organizar y garantizar, directa o indirectamente, la prestación del Plan de Salud Obligatorio a los afiliados y girar, dentro de los términos previstos en la presente Ley, la diferencia entre los ingresos por cotizaciones de sus afiliados y el valor de las corres</w:t>
      </w:r>
      <w:r w:rsidRPr="00A63A98">
        <w:rPr>
          <w:rFonts w:ascii="Bahnschrift Light" w:hAnsi="Bahnschrift Light" w:cs="Arial"/>
          <w:color w:val="000000"/>
          <w:sz w:val="28"/>
          <w:szCs w:val="28"/>
        </w:rPr>
        <w:softHyphen/>
        <w:t>pondientes Unidades de Pago por Capitalización al Fondo de Solidaridad y Garantía, de que trata el Título 111 de la presente Ley."</w:t>
      </w:r>
    </w:p>
    <w:p w14:paraId="00EF9C9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3577B11"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lastRenderedPageBreak/>
        <w:t>Y el artículo 179 establece:</w:t>
      </w:r>
    </w:p>
    <w:p w14:paraId="4E18FAB7"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2F572504"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"Artículo 179. Campo de acción de las entidades promotoras de salud. Para ga</w:t>
      </w:r>
      <w:r w:rsidRPr="00A63A98">
        <w:rPr>
          <w:rFonts w:ascii="Bahnschrift Light" w:hAnsi="Bahnschrift Light" w:cs="Arial"/>
          <w:color w:val="000000"/>
          <w:sz w:val="28"/>
          <w:szCs w:val="28"/>
        </w:rPr>
        <w:softHyphen/>
        <w:t>rantizar el Plan de Salud Obligatorio a sus afiliados, las Entidades Promotoras de Salud prestarán directamente o contratarán los servicios de salud con las instituciones prestado</w:t>
      </w:r>
      <w:r w:rsidRPr="00A63A98">
        <w:rPr>
          <w:rFonts w:ascii="Bahnschrift Light" w:hAnsi="Bahnschrift Light" w:cs="Arial"/>
          <w:color w:val="000000"/>
          <w:sz w:val="28"/>
          <w:szCs w:val="28"/>
        </w:rPr>
        <w:softHyphen/>
        <w:t>ras y los profesionales. Para racionalizar la demanda por servicios, las entidades promoto</w:t>
      </w:r>
      <w:r w:rsidRPr="00A63A98">
        <w:rPr>
          <w:rFonts w:ascii="Bahnschrift Light" w:hAnsi="Bahnschrift Light" w:cs="Arial"/>
          <w:color w:val="000000"/>
          <w:sz w:val="28"/>
          <w:szCs w:val="28"/>
        </w:rPr>
        <w:softHyphen/>
        <w:t>ras de salud podrán adoptar modalidades de contratación y pago tales coma capitación, pro</w:t>
      </w:r>
      <w:r w:rsidRPr="00A63A98">
        <w:rPr>
          <w:rFonts w:ascii="Bahnschrift Light" w:hAnsi="Bahnschrift Light" w:cs="Arial"/>
          <w:color w:val="000000"/>
          <w:sz w:val="28"/>
          <w:szCs w:val="28"/>
        </w:rPr>
        <w:softHyphen/>
        <w:t>tocolos o presupuestos globales fijos, de tal manera que incentiven las actividades de pro</w:t>
      </w:r>
      <w:r w:rsidRPr="00A63A98">
        <w:rPr>
          <w:rFonts w:ascii="Bahnschrift Light" w:hAnsi="Bahnschrift Light" w:cs="Arial"/>
          <w:color w:val="000000"/>
          <w:sz w:val="28"/>
          <w:szCs w:val="28"/>
        </w:rPr>
        <w:softHyphen/>
        <w:t>moción y prevención y el control de costos. Cada entidad promotora deberá ofrecer a sus afiliados varias alternativas de instituciones prestadoras de salud, salvo cuando la restric</w:t>
      </w:r>
      <w:r w:rsidRPr="00A63A98">
        <w:rPr>
          <w:rFonts w:ascii="Bahnschrift Light" w:hAnsi="Bahnschrift Light" w:cs="Arial"/>
          <w:color w:val="000000"/>
          <w:sz w:val="28"/>
          <w:szCs w:val="28"/>
        </w:rPr>
        <w:softHyphen/>
        <w:t>ción de oferta lo impida, de conformidad con el reglamento que para el efecto expida el Con</w:t>
      </w:r>
      <w:r w:rsidRPr="00A63A98">
        <w:rPr>
          <w:rFonts w:ascii="Bahnschrift Light" w:hAnsi="Bahnschrift Light" w:cs="Arial"/>
          <w:color w:val="000000"/>
          <w:sz w:val="28"/>
          <w:szCs w:val="28"/>
        </w:rPr>
        <w:softHyphen/>
        <w:t>sejo Nacional de Seguridad Social en Salud."</w:t>
      </w:r>
    </w:p>
    <w:p w14:paraId="3D33DF92"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A14CB12"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Parágrafo. Las entidades promotoras de salud buscarán mecanismos de agrupa</w:t>
      </w:r>
      <w:r w:rsidRPr="00A63A98">
        <w:rPr>
          <w:rFonts w:ascii="Bahnschrift Light" w:hAnsi="Bahnschrift Light" w:cs="Arial"/>
          <w:color w:val="000000"/>
          <w:sz w:val="28"/>
          <w:szCs w:val="28"/>
        </w:rPr>
        <w:softHyphen/>
        <w:t>miento de riesgo entre sus afiliados, entre empresas, agremiaciones o asociaciones o por asentamientos geográficos de acuerdo con la reglamentación que expida el Gobierno Nacional.</w:t>
      </w:r>
    </w:p>
    <w:p w14:paraId="5ABF1BA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70948C4A"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Indica la SU-480/97:</w:t>
      </w:r>
    </w:p>
    <w:p w14:paraId="0DD6DCA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6DCEB5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"Esa delegación, conforme lo señala el artículo, es para prestar el Plan Obligatorio de Salud (POS) que incluye la atención integral a la población afiliada en sus fases de educación, información y fomento de la salud y la prevención, diagnóstico, tratamiento y rehabilitación de la enfermedad, incluido el suministro de medicamentos esenciales en su denominación genérica (art. 11 Decreto 1938 de 1994). Y el mismo decreto en su artículo 3°, literal b-) dice que este derecho es para los afiliados al Régimen Contributi</w:t>
      </w:r>
      <w:r w:rsidRPr="00A63A98">
        <w:rPr>
          <w:rFonts w:ascii="Bahnschrift Light" w:hAnsi="Bahnschrift Light" w:cs="Arial"/>
          <w:color w:val="000000"/>
          <w:sz w:val="28"/>
          <w:szCs w:val="28"/>
        </w:rPr>
        <w:softHyphen/>
        <w:t>vo y la obligación le corresponde a las EPS".</w:t>
      </w:r>
    </w:p>
    <w:p w14:paraId="643CF9D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12497E68"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lastRenderedPageBreak/>
        <w:t>Como se ve, una cosa es la atención básica por parte del Estado y otra el Plan Obliga</w:t>
      </w:r>
      <w:r w:rsidRPr="00A63A98">
        <w:rPr>
          <w:rFonts w:ascii="Bahnschrift Light" w:hAnsi="Bahnschrift Light" w:cs="Arial"/>
          <w:color w:val="000000"/>
          <w:sz w:val="28"/>
          <w:szCs w:val="28"/>
        </w:rPr>
        <w:softHyphen/>
        <w:t>torio de Salud por cuenta de los particulares.</w:t>
      </w:r>
    </w:p>
    <w:p w14:paraId="2883125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47630359"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El afiliado lo es al Sistema y no a una determinada EPS. Su cotización es al Sistema, esto tiene implicaciones en el factor temporal de afiliación en cuanto a los derechos que se tienen, según el tiempo de cotización, ya que hay unos períodos mínimos que influ</w:t>
      </w:r>
      <w:r w:rsidRPr="00A63A98">
        <w:rPr>
          <w:rFonts w:ascii="Bahnschrift Light" w:hAnsi="Bahnschrift Light" w:cs="Arial"/>
          <w:color w:val="000000"/>
          <w:sz w:val="28"/>
          <w:szCs w:val="28"/>
        </w:rPr>
        <w:softHyphen/>
        <w:t>yen en la prestación de los servicios como lo indica el artículo 26 del Decreto 1938 de 1994.</w:t>
      </w:r>
    </w:p>
    <w:p w14:paraId="3C84373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3746F034"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En caso de necesidad, también hay flexibilidad respecto a la demora en el pago de los aportes:</w:t>
      </w:r>
    </w:p>
    <w:p w14:paraId="3779CFB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722444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"Si, además, se tiene en cuenta, de un lado, la urgencia del tratamiento médico y, de otro, el hecho de que la demandante carece de los recursos económicos para asumir el costo de lo que le pueda corresponder para el tratamiento y los medica</w:t>
      </w:r>
      <w:r w:rsidRPr="00A63A98">
        <w:rPr>
          <w:rFonts w:ascii="Bahnschrift Light" w:hAnsi="Bahnschrift Light" w:cs="Arial"/>
          <w:color w:val="000000"/>
          <w:sz w:val="28"/>
          <w:szCs w:val="28"/>
        </w:rPr>
        <w:softHyphen/>
        <w:t>mentos que exige su caso, es claro que debe exonerársele del pago señalado en los reglamentos, por sus condiciones de pobreza si se tienen en cuenta los exiguos in</w:t>
      </w:r>
      <w:r w:rsidRPr="00A63A98">
        <w:rPr>
          <w:rFonts w:ascii="Bahnschrift Light" w:hAnsi="Bahnschrift Light" w:cs="Arial"/>
          <w:color w:val="000000"/>
          <w:sz w:val="28"/>
          <w:szCs w:val="28"/>
        </w:rPr>
        <w:softHyphen/>
        <w:t>gresos que recibe. En sus condiciones de enfermedad y dentro de las limitaciones propias de esta circunstancia, el salario de la demandante resulta insuficiente para subvenir cualquier gasto adicional y más aún, el que demanda el pago adicional para acceder a los referidos servicios de seguridad social en salud."</w:t>
      </w:r>
    </w:p>
    <w:p w14:paraId="58A1EC0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6E87DAB"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La EPS no queda desprotegida si el comportamiento omisivo es patronal. La Corte, en sentencia con autoridad de cosa juzgada, C-179/97, dijo que la entidad patronal "en su carácter de retenedora y administradora de unos recursos públicos" tiene las acciones legales ejecutivas pertinentes. Es decir, la EPS puede reclamar al patrono incumplido no solo las cuotas debidas sino la inversión hecha cuando estaba en mora.</w:t>
      </w:r>
    </w:p>
    <w:p w14:paraId="3029DAA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0B5B76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lastRenderedPageBreak/>
        <w:t>Es, pues, muy clara la jurisprudencia: el trabajador y los beneficiarios no pueden que</w:t>
      </w:r>
      <w:r w:rsidRPr="00A63A98">
        <w:rPr>
          <w:rFonts w:ascii="Bahnschrift Light" w:hAnsi="Bahnschrift Light" w:cs="Arial"/>
          <w:color w:val="000000"/>
          <w:sz w:val="28"/>
          <w:szCs w:val="28"/>
        </w:rPr>
        <w:softHyphen/>
        <w:t>dar perjudicados por la desidia patronal".</w:t>
      </w:r>
    </w:p>
    <w:p w14:paraId="66497428"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2AFA13E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PROCEDENCIA Y LEGITIMIDAD</w:t>
      </w:r>
    </w:p>
    <w:p w14:paraId="56DA3193"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BACB823"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A63A98">
        <w:rPr>
          <w:rFonts w:ascii="Bahnschrift Light" w:hAnsi="Bahnschrift Light" w:cs="Arial"/>
          <w:color w:val="000000"/>
          <w:sz w:val="28"/>
          <w:szCs w:val="28"/>
        </w:rPr>
        <w:softHyphen/>
        <w:t>sión de la acción de tutela.</w:t>
      </w:r>
    </w:p>
    <w:p w14:paraId="7C20C11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F9DBB20"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Para los efectos de que trata el artículo 38 del Decreto 2591 de 1991, manifiesto bajo la gravedad de juramento que con anterioridad a esta acción no he promovido demanda similar por los mismos hechos.</w:t>
      </w:r>
    </w:p>
    <w:p w14:paraId="31206DA7"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441B6DE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ANEXOS</w:t>
      </w:r>
    </w:p>
    <w:p w14:paraId="6B53B5F1"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0577D0E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Fotocopia de afiliación a la EPS ...</w:t>
      </w:r>
    </w:p>
    <w:p w14:paraId="60959BDC"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66892960"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Fotocopia del dictamen médico practicado en ...</w:t>
      </w:r>
    </w:p>
    <w:p w14:paraId="37053BA4"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5ECDCE67"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El cual certifica que ...</w:t>
      </w:r>
    </w:p>
    <w:p w14:paraId="18743EBB"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3E974255"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Style w:val="Textoennegrita"/>
          <w:rFonts w:ascii="Bahnschrift Light" w:hAnsi="Bahnschrift Light" w:cs="Arial"/>
          <w:color w:val="000000"/>
          <w:sz w:val="28"/>
          <w:szCs w:val="28"/>
        </w:rPr>
        <w:t>NOTIFICACIONES</w:t>
      </w:r>
    </w:p>
    <w:p w14:paraId="4BD88BC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4D76FD0D"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El director de la EPS ... Dr...., o quien haga las veces de representante, puede notifi</w:t>
      </w:r>
      <w:r w:rsidRPr="00A63A98">
        <w:rPr>
          <w:rFonts w:ascii="Bahnschrift Light" w:hAnsi="Bahnschrift Light" w:cs="Arial"/>
          <w:color w:val="000000"/>
          <w:sz w:val="28"/>
          <w:szCs w:val="28"/>
        </w:rPr>
        <w:softHyphen/>
        <w:t>carse en la ....</w:t>
      </w:r>
    </w:p>
    <w:p w14:paraId="68D6B88F"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t> </w:t>
      </w:r>
    </w:p>
    <w:p w14:paraId="107321D1"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El suscrito recibirá notificación en la ...</w:t>
      </w:r>
    </w:p>
    <w:p w14:paraId="2BE4F690"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Calibri" w:hAnsi="Calibri" w:cs="Calibri"/>
          <w:color w:val="000000"/>
          <w:sz w:val="28"/>
          <w:szCs w:val="28"/>
        </w:rPr>
        <w:lastRenderedPageBreak/>
        <w:t> </w:t>
      </w:r>
    </w:p>
    <w:p w14:paraId="09D3CF87"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Respetuosamente,</w:t>
      </w:r>
    </w:p>
    <w:p w14:paraId="1DCD2006" w14:textId="77777777" w:rsidR="00A63A98" w:rsidRPr="00A63A98" w:rsidRDefault="00A63A98" w:rsidP="00A63A98">
      <w:pPr>
        <w:pStyle w:val="NormalWeb"/>
        <w:shd w:val="clear" w:color="auto" w:fill="FFFFFF"/>
        <w:spacing w:before="0" w:beforeAutospacing="0" w:after="142" w:afterAutospacing="0" w:line="252" w:lineRule="atLeast"/>
        <w:jc w:val="both"/>
        <w:rPr>
          <w:rFonts w:ascii="Bahnschrift Light" w:hAnsi="Bahnschrift Light" w:cs="Arial"/>
          <w:color w:val="000000"/>
          <w:sz w:val="28"/>
          <w:szCs w:val="28"/>
        </w:rPr>
      </w:pPr>
      <w:r w:rsidRPr="00A63A98">
        <w:rPr>
          <w:rFonts w:ascii="Bahnschrift Light" w:hAnsi="Bahnschrift Light" w:cs="Arial"/>
          <w:color w:val="000000"/>
          <w:sz w:val="28"/>
          <w:szCs w:val="28"/>
        </w:rPr>
        <w:t>…………….</w:t>
      </w:r>
    </w:p>
    <w:p w14:paraId="61523F93" w14:textId="77777777" w:rsidR="003205BE" w:rsidRPr="00A63A98" w:rsidRDefault="003205BE" w:rsidP="00A63A98">
      <w:pPr>
        <w:jc w:val="both"/>
        <w:rPr>
          <w:rFonts w:ascii="Bahnschrift Light" w:hAnsi="Bahnschrift Light"/>
          <w:sz w:val="28"/>
          <w:szCs w:val="28"/>
        </w:rPr>
      </w:pPr>
    </w:p>
    <w:sectPr w:rsidR="003205BE" w:rsidRPr="00A63A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98"/>
    <w:rsid w:val="003200E8"/>
    <w:rsid w:val="003205BE"/>
    <w:rsid w:val="004B05C1"/>
    <w:rsid w:val="007540B0"/>
    <w:rsid w:val="009806B8"/>
    <w:rsid w:val="009F0B9B"/>
    <w:rsid w:val="00A63A98"/>
    <w:rsid w:val="00AB3DA7"/>
    <w:rsid w:val="00B549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3A9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63A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3A9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63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2022-05-03T19:08:00Z</dcterms:created>
  <dcterms:modified xsi:type="dcterms:W3CDTF">2022-05-03T19:08:00Z</dcterms:modified>
</cp:coreProperties>
</file>