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552"/>
        <w:gridCol w:w="198"/>
        <w:gridCol w:w="3062"/>
        <w:gridCol w:w="851"/>
        <w:gridCol w:w="1276"/>
        <w:gridCol w:w="1716"/>
      </w:tblGrid>
      <w:tr w:rsidR="00156BED" w:rsidRPr="001C5AA9" w:rsidTr="00532BC6">
        <w:trPr>
          <w:trHeight w:val="630"/>
        </w:trPr>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|DESCRIPCIÓN DEL CONTRATO</w:t>
            </w:r>
          </w:p>
        </w:tc>
        <w:tc>
          <w:tcPr>
            <w:tcW w:w="6905" w:type="dxa"/>
            <w:gridSpan w:val="4"/>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ES_tradnl"/>
              </w:rPr>
              <w:t>CONTRATO DE PRESTACIÓN DE SERVICIOS DE APOYO A LA GESTIÓN</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NÚMERO</w:t>
            </w:r>
          </w:p>
        </w:tc>
        <w:tc>
          <w:tcPr>
            <w:tcW w:w="6905" w:type="dxa"/>
            <w:gridSpan w:val="4"/>
          </w:tcPr>
          <w:p w:rsidR="00156BED" w:rsidRPr="001C5AA9" w:rsidRDefault="003C367B" w:rsidP="00532BC6">
            <w:pPr>
              <w:rPr>
                <w:rFonts w:ascii="Arial" w:hAnsi="Arial" w:cs="Arial"/>
                <w:sz w:val="20"/>
                <w:szCs w:val="20"/>
                <w:lang w:val="es-MX"/>
              </w:rPr>
            </w:pPr>
            <w:r w:rsidRPr="001C5AA9">
              <w:rPr>
                <w:rFonts w:ascii="Arial" w:hAnsi="Arial" w:cs="Arial"/>
                <w:sz w:val="20"/>
                <w:szCs w:val="20"/>
                <w:lang w:val="es-MX"/>
              </w:rPr>
              <w:t>PM</w:t>
            </w:r>
            <w:r w:rsidR="001C5AA9" w:rsidRPr="001C5AA9">
              <w:rPr>
                <w:rFonts w:ascii="Arial" w:hAnsi="Arial" w:cs="Arial"/>
                <w:sz w:val="20"/>
                <w:szCs w:val="20"/>
                <w:lang w:val="es-MX"/>
              </w:rPr>
              <w:t>03</w:t>
            </w:r>
            <w:r w:rsidR="00532BC6" w:rsidRPr="001C5AA9">
              <w:rPr>
                <w:rFonts w:ascii="Arial" w:hAnsi="Arial" w:cs="Arial"/>
                <w:sz w:val="20"/>
                <w:szCs w:val="20"/>
                <w:lang w:val="es-MX"/>
              </w:rPr>
              <w:t>-202</w:t>
            </w:r>
            <w:r w:rsidRPr="001C5AA9">
              <w:rPr>
                <w:rFonts w:ascii="Arial" w:hAnsi="Arial" w:cs="Arial"/>
                <w:sz w:val="20"/>
                <w:szCs w:val="20"/>
                <w:lang w:val="es-MX"/>
              </w:rPr>
              <w:t>2</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 xml:space="preserve">CONTRATANTE </w:t>
            </w:r>
          </w:p>
        </w:tc>
        <w:tc>
          <w:tcPr>
            <w:tcW w:w="6905" w:type="dxa"/>
            <w:gridSpan w:val="4"/>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PERSONERIA MUNICIPAL DE ITAGUI</w:t>
            </w:r>
          </w:p>
        </w:tc>
      </w:tr>
      <w:tr w:rsidR="00156BED" w:rsidRPr="001C5AA9" w:rsidTr="00532BC6">
        <w:trPr>
          <w:trHeight w:val="227"/>
        </w:trPr>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CONTRATISTA</w:t>
            </w:r>
          </w:p>
        </w:tc>
        <w:tc>
          <w:tcPr>
            <w:tcW w:w="6905" w:type="dxa"/>
            <w:gridSpan w:val="4"/>
          </w:tcPr>
          <w:p w:rsidR="00156BED" w:rsidRPr="001C5AA9" w:rsidRDefault="00156BED" w:rsidP="00532BC6">
            <w:pPr>
              <w:jc w:val="both"/>
              <w:rPr>
                <w:rFonts w:ascii="Arial" w:hAnsi="Arial" w:cs="Arial"/>
                <w:sz w:val="20"/>
                <w:szCs w:val="20"/>
                <w:lang w:val="es-ES_tradnl"/>
              </w:rPr>
            </w:pPr>
            <w:r w:rsidRPr="001C5AA9">
              <w:rPr>
                <w:rFonts w:ascii="Arial" w:hAnsi="Arial" w:cs="Arial"/>
                <w:bCs/>
                <w:sz w:val="20"/>
                <w:szCs w:val="20"/>
                <w:lang w:val="es-ES"/>
              </w:rPr>
              <w:t>CORPORACIÓN PARA LA EDUCACIÓN, CULTURA Y EMPRENDIMIENTO COMUNITARIO KABABI</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NIT O CEDULA</w:t>
            </w:r>
          </w:p>
        </w:tc>
        <w:tc>
          <w:tcPr>
            <w:tcW w:w="6905" w:type="dxa"/>
            <w:gridSpan w:val="4"/>
          </w:tcPr>
          <w:p w:rsidR="00156BED" w:rsidRPr="001C5AA9" w:rsidRDefault="00156BED" w:rsidP="00532BC6">
            <w:pPr>
              <w:jc w:val="both"/>
              <w:rPr>
                <w:rFonts w:ascii="Arial" w:hAnsi="Arial" w:cs="Arial"/>
                <w:sz w:val="20"/>
                <w:szCs w:val="20"/>
              </w:rPr>
            </w:pPr>
            <w:r w:rsidRPr="001C5AA9">
              <w:rPr>
                <w:rFonts w:ascii="Arial" w:hAnsi="Arial" w:cs="Arial"/>
                <w:bCs/>
                <w:spacing w:val="-6"/>
                <w:sz w:val="20"/>
                <w:szCs w:val="20"/>
              </w:rPr>
              <w:t>900.351.043</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 xml:space="preserve">OBJETO DEL CONTRATO </w:t>
            </w:r>
          </w:p>
        </w:tc>
        <w:tc>
          <w:tcPr>
            <w:tcW w:w="6905" w:type="dxa"/>
            <w:gridSpan w:val="4"/>
          </w:tcPr>
          <w:p w:rsidR="00156BED" w:rsidRPr="001C5AA9" w:rsidRDefault="003C367B" w:rsidP="00532BC6">
            <w:pPr>
              <w:autoSpaceDE w:val="0"/>
              <w:autoSpaceDN w:val="0"/>
              <w:adjustRightInd w:val="0"/>
              <w:jc w:val="both"/>
              <w:rPr>
                <w:rFonts w:ascii="Arial" w:hAnsi="Arial" w:cs="Arial"/>
                <w:bCs/>
                <w:sz w:val="20"/>
                <w:szCs w:val="20"/>
              </w:rPr>
            </w:pPr>
            <w:r w:rsidRPr="001C5AA9">
              <w:rPr>
                <w:rFonts w:ascii="Arial" w:eastAsia="Calibri" w:hAnsi="Arial" w:cs="Arial"/>
                <w:sz w:val="20"/>
                <w:szCs w:val="20"/>
                <w:lang w:eastAsia="en-US"/>
              </w:rPr>
              <w:t>Prestación de servicios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VALOR</w:t>
            </w:r>
          </w:p>
        </w:tc>
        <w:tc>
          <w:tcPr>
            <w:tcW w:w="6905" w:type="dxa"/>
            <w:gridSpan w:val="4"/>
          </w:tcPr>
          <w:p w:rsidR="00156BED" w:rsidRPr="001C5AA9" w:rsidRDefault="00532BC6" w:rsidP="00532BC6">
            <w:pPr>
              <w:jc w:val="both"/>
              <w:rPr>
                <w:rFonts w:ascii="Arial" w:hAnsi="Arial" w:cs="Arial"/>
                <w:sz w:val="20"/>
                <w:szCs w:val="20"/>
              </w:rPr>
            </w:pPr>
            <w:r w:rsidRPr="001C5AA9">
              <w:rPr>
                <w:rFonts w:ascii="Arial" w:hAnsi="Arial" w:cs="Arial"/>
                <w:sz w:val="20"/>
                <w:szCs w:val="20"/>
              </w:rPr>
              <w:t>SETENTA MILLONES DE PESOS ($70.000.000)</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PLAZO</w:t>
            </w:r>
          </w:p>
        </w:tc>
        <w:tc>
          <w:tcPr>
            <w:tcW w:w="6905" w:type="dxa"/>
            <w:gridSpan w:val="4"/>
          </w:tcPr>
          <w:p w:rsidR="00156BED" w:rsidRPr="001C5AA9" w:rsidRDefault="00156BED" w:rsidP="003C367B">
            <w:pPr>
              <w:jc w:val="both"/>
              <w:rPr>
                <w:rFonts w:ascii="Arial" w:hAnsi="Arial" w:cs="Arial"/>
                <w:color w:val="333333"/>
                <w:sz w:val="20"/>
                <w:szCs w:val="20"/>
              </w:rPr>
            </w:pPr>
            <w:r w:rsidRPr="001C5AA9">
              <w:rPr>
                <w:rFonts w:ascii="Arial" w:hAnsi="Arial" w:cs="Arial"/>
                <w:color w:val="000000"/>
                <w:sz w:val="20"/>
                <w:szCs w:val="20"/>
              </w:rPr>
              <w:t xml:space="preserve">El plazo estipulado para este contrato es </w:t>
            </w:r>
            <w:r w:rsidR="003C367B" w:rsidRPr="001C5AA9">
              <w:rPr>
                <w:rFonts w:ascii="Arial" w:hAnsi="Arial" w:cs="Arial"/>
                <w:color w:val="000000"/>
                <w:sz w:val="20"/>
                <w:szCs w:val="20"/>
              </w:rPr>
              <w:t xml:space="preserve">trescientos veintitrés (323) días </w:t>
            </w:r>
            <w:r w:rsidRPr="001C5AA9">
              <w:rPr>
                <w:rFonts w:ascii="Arial" w:hAnsi="Arial" w:cs="Arial"/>
                <w:color w:val="000000"/>
                <w:sz w:val="20"/>
                <w:szCs w:val="20"/>
              </w:rPr>
              <w:t>contados a partir de la suscripción del acta de inicio y sin exceder al 30 de diciembre de 202</w:t>
            </w:r>
            <w:r w:rsidR="003C367B" w:rsidRPr="001C5AA9">
              <w:rPr>
                <w:rFonts w:ascii="Arial" w:hAnsi="Arial" w:cs="Arial"/>
                <w:color w:val="000000"/>
                <w:sz w:val="20"/>
                <w:szCs w:val="20"/>
              </w:rPr>
              <w:t>2.</w:t>
            </w:r>
          </w:p>
        </w:tc>
      </w:tr>
      <w:tr w:rsidR="00156BED" w:rsidRPr="001C5AA9" w:rsidTr="00532BC6">
        <w:tc>
          <w:tcPr>
            <w:tcW w:w="9655" w:type="dxa"/>
            <w:gridSpan w:val="6"/>
          </w:tcPr>
          <w:p w:rsidR="00156BED" w:rsidRPr="001C5AA9" w:rsidRDefault="00156BED" w:rsidP="00532BC6">
            <w:pPr>
              <w:jc w:val="center"/>
              <w:rPr>
                <w:rFonts w:ascii="Arial" w:hAnsi="Arial" w:cs="Arial"/>
                <w:color w:val="333333"/>
                <w:sz w:val="20"/>
                <w:szCs w:val="20"/>
              </w:rPr>
            </w:pPr>
            <w:r w:rsidRPr="001C5AA9">
              <w:rPr>
                <w:rFonts w:ascii="Arial" w:hAnsi="Arial" w:cs="Arial"/>
                <w:sz w:val="20"/>
                <w:szCs w:val="20"/>
                <w:lang w:val="es-MX"/>
              </w:rPr>
              <w:t>AFECTACIÓN PRESUPUESTAL</w:t>
            </w:r>
          </w:p>
        </w:tc>
      </w:tr>
      <w:tr w:rsidR="00156BED" w:rsidRPr="001C5AA9" w:rsidTr="00532BC6">
        <w:tc>
          <w:tcPr>
            <w:tcW w:w="2552"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Rubro presupuestal</w:t>
            </w:r>
          </w:p>
        </w:tc>
        <w:tc>
          <w:tcPr>
            <w:tcW w:w="3260" w:type="dxa"/>
            <w:gridSpan w:val="2"/>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 xml:space="preserve">Nombre </w:t>
            </w:r>
          </w:p>
        </w:tc>
        <w:tc>
          <w:tcPr>
            <w:tcW w:w="851"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C.D.P</w:t>
            </w:r>
          </w:p>
        </w:tc>
        <w:tc>
          <w:tcPr>
            <w:tcW w:w="1276"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 xml:space="preserve">Fecha </w:t>
            </w:r>
          </w:p>
        </w:tc>
        <w:tc>
          <w:tcPr>
            <w:tcW w:w="1716"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Valor</w:t>
            </w:r>
          </w:p>
        </w:tc>
      </w:tr>
      <w:tr w:rsidR="00156BED" w:rsidRPr="001C5AA9" w:rsidTr="00532BC6">
        <w:tc>
          <w:tcPr>
            <w:tcW w:w="2552"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16.2.1.2.02.02.008.01-01</w:t>
            </w:r>
          </w:p>
        </w:tc>
        <w:tc>
          <w:tcPr>
            <w:tcW w:w="3260" w:type="dxa"/>
            <w:gridSpan w:val="2"/>
          </w:tcPr>
          <w:p w:rsidR="00156BED" w:rsidRPr="001C5AA9" w:rsidRDefault="00156BED" w:rsidP="00532BC6">
            <w:pPr>
              <w:jc w:val="center"/>
              <w:rPr>
                <w:rFonts w:ascii="Arial" w:hAnsi="Arial" w:cs="Arial"/>
                <w:sz w:val="20"/>
                <w:szCs w:val="20"/>
              </w:rPr>
            </w:pPr>
            <w:r w:rsidRPr="001C5AA9">
              <w:rPr>
                <w:rFonts w:ascii="Arial" w:hAnsi="Arial" w:cs="Arial"/>
                <w:sz w:val="20"/>
                <w:szCs w:val="20"/>
              </w:rPr>
              <w:t>SERVICIOS PRESTADOS A LAS EMPRESAS Y SERVICIOS DE PRODUCCIÓN | REMUNERACION SERVICIOS TECNICOS</w:t>
            </w:r>
          </w:p>
        </w:tc>
        <w:tc>
          <w:tcPr>
            <w:tcW w:w="851" w:type="dxa"/>
          </w:tcPr>
          <w:p w:rsidR="00532BC6" w:rsidRPr="001C5AA9" w:rsidRDefault="003C367B" w:rsidP="00532BC6">
            <w:pPr>
              <w:jc w:val="center"/>
              <w:rPr>
                <w:rFonts w:ascii="Arial" w:hAnsi="Arial" w:cs="Arial"/>
                <w:sz w:val="20"/>
                <w:szCs w:val="20"/>
              </w:rPr>
            </w:pPr>
            <w:r w:rsidRPr="001C5AA9">
              <w:rPr>
                <w:rFonts w:ascii="Arial" w:hAnsi="Arial" w:cs="Arial"/>
                <w:sz w:val="20"/>
                <w:szCs w:val="20"/>
              </w:rPr>
              <w:t>215</w:t>
            </w:r>
          </w:p>
        </w:tc>
        <w:tc>
          <w:tcPr>
            <w:tcW w:w="1276" w:type="dxa"/>
          </w:tcPr>
          <w:p w:rsidR="00532BC6" w:rsidRPr="001C5AA9" w:rsidRDefault="003C367B" w:rsidP="00532BC6">
            <w:pPr>
              <w:jc w:val="center"/>
              <w:rPr>
                <w:rFonts w:ascii="Arial" w:hAnsi="Arial" w:cs="Arial"/>
                <w:sz w:val="20"/>
                <w:szCs w:val="20"/>
                <w:lang w:val="es-MX"/>
              </w:rPr>
            </w:pPr>
            <w:r w:rsidRPr="001C5AA9">
              <w:rPr>
                <w:rFonts w:ascii="Arial" w:hAnsi="Arial" w:cs="Arial"/>
                <w:sz w:val="20"/>
                <w:szCs w:val="20"/>
                <w:lang w:val="es-MX"/>
              </w:rPr>
              <w:t>20/01/2022</w:t>
            </w:r>
          </w:p>
        </w:tc>
        <w:tc>
          <w:tcPr>
            <w:tcW w:w="1716" w:type="dxa"/>
          </w:tcPr>
          <w:p w:rsidR="00532BC6" w:rsidRPr="001C5AA9" w:rsidRDefault="003C367B" w:rsidP="00532BC6">
            <w:pPr>
              <w:jc w:val="center"/>
              <w:rPr>
                <w:rFonts w:ascii="Arial" w:hAnsi="Arial" w:cs="Arial"/>
                <w:sz w:val="20"/>
                <w:szCs w:val="20"/>
                <w:lang w:val="es-MX"/>
              </w:rPr>
            </w:pPr>
            <w:r w:rsidRPr="001C5AA9">
              <w:rPr>
                <w:rFonts w:ascii="Arial" w:hAnsi="Arial" w:cs="Arial"/>
                <w:sz w:val="20"/>
                <w:szCs w:val="20"/>
                <w:lang w:val="es-MX"/>
              </w:rPr>
              <w:t>70.000.000</w:t>
            </w:r>
          </w:p>
        </w:tc>
      </w:tr>
    </w:tbl>
    <w:p w:rsidR="00156BED" w:rsidRPr="001C5AA9" w:rsidRDefault="00156BED" w:rsidP="00156BED">
      <w:pPr>
        <w:jc w:val="center"/>
        <w:rPr>
          <w:rFonts w:ascii="Arial" w:hAnsi="Arial" w:cs="Arial"/>
          <w:sz w:val="20"/>
          <w:szCs w:val="20"/>
          <w:lang w:val="es-MX"/>
        </w:rPr>
      </w:pPr>
    </w:p>
    <w:tbl>
      <w:tblPr>
        <w:tblStyle w:val="Tablaconcuadrcula"/>
        <w:tblW w:w="0" w:type="auto"/>
        <w:tblLook w:val="04A0"/>
      </w:tblPr>
      <w:tblGrid>
        <w:gridCol w:w="9547"/>
      </w:tblGrid>
      <w:tr w:rsidR="00156BED" w:rsidRPr="001C5AA9" w:rsidTr="00532BC6">
        <w:tc>
          <w:tcPr>
            <w:tcW w:w="9547" w:type="dxa"/>
          </w:tcPr>
          <w:p w:rsidR="00156BED" w:rsidRPr="001C5AA9" w:rsidRDefault="00156BED" w:rsidP="003C367B">
            <w:pPr>
              <w:autoSpaceDE w:val="0"/>
              <w:autoSpaceDN w:val="0"/>
              <w:adjustRightInd w:val="0"/>
              <w:jc w:val="both"/>
              <w:rPr>
                <w:rFonts w:ascii="Arial" w:hAnsi="Arial" w:cs="Arial"/>
                <w:bCs/>
                <w:sz w:val="20"/>
                <w:szCs w:val="20"/>
              </w:rPr>
            </w:pPr>
            <w:r w:rsidRPr="001C5AA9">
              <w:rPr>
                <w:rFonts w:ascii="Arial" w:hAnsi="Arial" w:cs="Arial"/>
                <w:sz w:val="20"/>
                <w:szCs w:val="20"/>
                <w:lang w:eastAsia="es-CO"/>
              </w:rPr>
              <w:t xml:space="preserve">Entre los suscritos JHON JAIRO CHICA SALGADO, identificado con la cédula de ciudadanía número </w:t>
            </w:r>
            <w:r w:rsidRPr="001C5AA9">
              <w:rPr>
                <w:rFonts w:ascii="Arial" w:hAnsi="Arial" w:cs="Arial"/>
                <w:sz w:val="20"/>
                <w:szCs w:val="20"/>
              </w:rPr>
              <w:t>16</w:t>
            </w:r>
            <w:r w:rsidRPr="001C5AA9">
              <w:rPr>
                <w:rFonts w:ascii="Arial" w:hAnsi="Arial" w:cs="Arial"/>
                <w:sz w:val="20"/>
                <w:szCs w:val="20"/>
                <w:lang w:val="es-ES_tradnl"/>
              </w:rPr>
              <w:t xml:space="preserve">.726.606 </w:t>
            </w:r>
            <w:r w:rsidRPr="001C5AA9">
              <w:rPr>
                <w:rFonts w:ascii="Arial" w:hAnsi="Arial" w:cs="Arial"/>
                <w:sz w:val="20"/>
                <w:szCs w:val="20"/>
                <w:lang w:eastAsia="es-CO"/>
              </w:rPr>
              <w:t>expedida en Armenia (</w:t>
            </w:r>
            <w:proofErr w:type="spellStart"/>
            <w:r w:rsidRPr="001C5AA9">
              <w:rPr>
                <w:rFonts w:ascii="Arial" w:hAnsi="Arial" w:cs="Arial"/>
                <w:sz w:val="20"/>
                <w:szCs w:val="20"/>
                <w:lang w:eastAsia="es-CO"/>
              </w:rPr>
              <w:t>Quindio</w:t>
            </w:r>
            <w:proofErr w:type="spellEnd"/>
            <w:r w:rsidRPr="001C5AA9">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1C5AA9">
              <w:rPr>
                <w:rFonts w:ascii="Arial" w:hAnsi="Arial" w:cs="Arial"/>
                <w:bCs/>
                <w:sz w:val="20"/>
                <w:szCs w:val="20"/>
                <w:lang w:eastAsia="es-CO"/>
              </w:rPr>
              <w:t xml:space="preserve">LA PERSONERÍA, </w:t>
            </w:r>
            <w:r w:rsidRPr="001C5AA9">
              <w:rPr>
                <w:rFonts w:ascii="Arial" w:hAnsi="Arial" w:cs="Arial"/>
                <w:sz w:val="20"/>
                <w:szCs w:val="20"/>
                <w:lang w:val="es-MX" w:eastAsia="es-CO"/>
              </w:rPr>
              <w:t xml:space="preserve">y de la otra parte </w:t>
            </w:r>
            <w:r w:rsidRPr="001C5AA9">
              <w:rPr>
                <w:rFonts w:ascii="Arial" w:hAnsi="Arial" w:cs="Arial"/>
                <w:sz w:val="20"/>
                <w:szCs w:val="20"/>
                <w:lang w:val="es-MX"/>
              </w:rPr>
              <w:t>y de la otra parte CORPORACIÓN PARA LA EDUCACIÓN, CULTURA Y EMPRENDIMIENTO COMUNITARIO KABABI, con NIT. 900.351.043-7, Matricula Mercantil número 21-012396-21, entidad sin ánimo de lucro, Representada Legalmente por la señora DEISY SEPULVEDA GARCÍA, identificada con cédula de Ciudadanía número 1.039.449.962, con domicilio en el Municipio de Envigado, Transversal 31 Sur No 32 D 36, teléfono 4480392 y que para efectos del presente contrato se denominara, EL CONTRATISTA, se celebra el presente contrato, PREVIAS LAS SIGUIENTES CONSIDERACIONES: 1. Que la ley 136 de 1994, en el artículo 142 dispone como obligación a cargo de los Personeros Municipales, la Formación Ciudadana, considerándose como causal de mala conducta el desconocimiento de la obligación establecida en este artículo. 2. Que la Misión de la Personería Municipal de Itagüí se concreta en la promoción, difusión y protección de los derechos humanos, de los derechos colectivos y del medio ambiente y todos los ejes temáticos establecidos en el plan estratégico institucional</w:t>
            </w:r>
            <w:r w:rsidR="00532BC6" w:rsidRPr="001C5AA9">
              <w:rPr>
                <w:rFonts w:ascii="Arial" w:hAnsi="Arial" w:cs="Arial"/>
                <w:sz w:val="20"/>
                <w:szCs w:val="20"/>
                <w:lang w:val="es-MX"/>
              </w:rPr>
              <w:t xml:space="preserve"> 2021</w:t>
            </w:r>
            <w:r w:rsidRPr="001C5AA9">
              <w:rPr>
                <w:rFonts w:ascii="Arial" w:hAnsi="Arial" w:cs="Arial"/>
                <w:sz w:val="20"/>
                <w:szCs w:val="20"/>
                <w:lang w:val="es-MX"/>
              </w:rPr>
              <w:t xml:space="preserve"> – 202</w:t>
            </w:r>
            <w:r w:rsidR="00532BC6" w:rsidRPr="001C5AA9">
              <w:rPr>
                <w:rFonts w:ascii="Arial" w:hAnsi="Arial" w:cs="Arial"/>
                <w:sz w:val="20"/>
                <w:szCs w:val="20"/>
                <w:lang w:val="es-MX"/>
              </w:rPr>
              <w:t>4</w:t>
            </w:r>
            <w:r w:rsidRPr="001C5AA9">
              <w:rPr>
                <w:rFonts w:ascii="Arial" w:hAnsi="Arial" w:cs="Arial"/>
                <w:sz w:val="20"/>
                <w:szCs w:val="20"/>
                <w:lang w:val="es-MX"/>
              </w:rPr>
              <w:t>, razón por la cual se necesita rea</w:t>
            </w:r>
            <w:r w:rsidR="00EC703F" w:rsidRPr="001C5AA9">
              <w:rPr>
                <w:rFonts w:ascii="Arial" w:hAnsi="Arial" w:cs="Arial"/>
                <w:sz w:val="20"/>
                <w:szCs w:val="20"/>
                <w:lang w:val="es-MX"/>
              </w:rPr>
              <w:t xml:space="preserve">lizar actividades de difusión, </w:t>
            </w:r>
            <w:r w:rsidRPr="001C5AA9">
              <w:rPr>
                <w:rFonts w:ascii="Arial" w:hAnsi="Arial" w:cs="Arial"/>
                <w:sz w:val="20"/>
                <w:szCs w:val="20"/>
                <w:lang w:val="es-MX"/>
              </w:rPr>
              <w:t xml:space="preserve">promoción y divulgación  de los mismos con actividades de formación dirigidas a la comunidad en general, buscando capacitar e instruir a los habitantes del municipio en el ejercicio de sus derechos ante las autoridades competentes o entidades de carácter privado. 3. Que la Personería Municipal de Itagüí busca continuar generando un impacto significativo con la ejecución de las actividades que el contratista llevará a cabo dentro del programa de formación ciudadana, cuya base conceptual es la comunidad en sus variadas manifestaciones, fundamentado además dicho proceso de formación en la integración de la sociedad, la autoconciencia, la auto reflexión del ciudadano y todo aquello que permita el desarrollo constante de las ciudadanías, como elemento esencial de un Estado Social de Derecho. 4. Que a través de los programas de formación ciudadana se busca capacitar a la comunidad para que esté en condiciones de ejercer sus derechos a través de diferentes acciones, bien sea de orden constitucional o legal, además de que adquieran competencias para reflexionar, debatir y participar en el desarrollo de una sociedad pluralista, </w:t>
            </w:r>
            <w:r w:rsidRPr="001C5AA9">
              <w:rPr>
                <w:rFonts w:ascii="Arial" w:hAnsi="Arial" w:cs="Arial"/>
                <w:sz w:val="20"/>
                <w:szCs w:val="20"/>
                <w:lang w:val="es-MX"/>
              </w:rPr>
              <w:lastRenderedPageBreak/>
              <w:t xml:space="preserve">fomentando el compromiso social en forma tal que permitan participar de la solución de los diferentes conflictos. Para dar cumplimiento a LA DIRECTRIZ </w:t>
            </w:r>
            <w:r w:rsidR="003D1CBD" w:rsidRPr="001C5AA9">
              <w:rPr>
                <w:rFonts w:ascii="Arial" w:hAnsi="Arial" w:cs="Arial"/>
                <w:sz w:val="20"/>
                <w:szCs w:val="20"/>
                <w:lang w:val="es-MX"/>
              </w:rPr>
              <w:t xml:space="preserve">COMUNIDAD E INCLUSIÓN </w:t>
            </w:r>
            <w:r w:rsidRPr="001C5AA9">
              <w:rPr>
                <w:rFonts w:ascii="Arial" w:hAnsi="Arial" w:cs="Arial"/>
                <w:sz w:val="20"/>
                <w:szCs w:val="20"/>
                <w:lang w:val="es-MX"/>
              </w:rPr>
              <w:t xml:space="preserve"> Contempl</w:t>
            </w:r>
            <w:r w:rsidR="003D1CBD" w:rsidRPr="001C5AA9">
              <w:rPr>
                <w:rFonts w:ascii="Arial" w:hAnsi="Arial" w:cs="Arial"/>
                <w:sz w:val="20"/>
                <w:szCs w:val="20"/>
                <w:lang w:val="es-MX"/>
              </w:rPr>
              <w:t>ada en el PEI 2021</w:t>
            </w:r>
            <w:r w:rsidRPr="001C5AA9">
              <w:rPr>
                <w:rFonts w:ascii="Arial" w:hAnsi="Arial" w:cs="Arial"/>
                <w:sz w:val="20"/>
                <w:szCs w:val="20"/>
                <w:lang w:val="es-MX"/>
              </w:rPr>
              <w:t xml:space="preserve"> -202</w:t>
            </w:r>
            <w:r w:rsidR="003D1CBD" w:rsidRPr="001C5AA9">
              <w:rPr>
                <w:rFonts w:ascii="Arial" w:hAnsi="Arial" w:cs="Arial"/>
                <w:sz w:val="20"/>
                <w:szCs w:val="20"/>
                <w:lang w:val="es-MX"/>
              </w:rPr>
              <w:t>4</w:t>
            </w:r>
            <w:r w:rsidRPr="001C5AA9">
              <w:rPr>
                <w:rFonts w:ascii="Arial" w:hAnsi="Arial" w:cs="Arial"/>
                <w:sz w:val="20"/>
                <w:szCs w:val="20"/>
                <w:lang w:val="es-MX"/>
              </w:rPr>
              <w:t xml:space="preserve"> se deben, entre otras, organizar y realizar actividades que estimulen la participación cultural y artística en la población estudiantil, como una oportunidad de desarrollar en ellos destrezas de comunicación verbal a través del Concurso de Oratoria “Construyendo Comunidad a través de la Palabra“. 6. Que en cumplimiento de la Ley, la Personería viene implantando programas permanentes para el conocimiento, promoción y protección de los derechos Humanos, valores democráticos, constitucionales, institucionales, cívicos, de solidaridad social, los derechos económicos, los sociales y culturales; y los colectivos y del medio ambiente. 7. Los programas de formación ciudadana que deben adelantarse en el año 202</w:t>
            </w:r>
            <w:r w:rsidR="003D1CBD" w:rsidRPr="001C5AA9">
              <w:rPr>
                <w:rFonts w:ascii="Arial" w:hAnsi="Arial" w:cs="Arial"/>
                <w:sz w:val="20"/>
                <w:szCs w:val="20"/>
                <w:lang w:val="es-MX"/>
              </w:rPr>
              <w:t>1</w:t>
            </w:r>
            <w:r w:rsidRPr="001C5AA9">
              <w:rPr>
                <w:rFonts w:ascii="Arial" w:hAnsi="Arial" w:cs="Arial"/>
                <w:sz w:val="20"/>
                <w:szCs w:val="20"/>
                <w:lang w:val="es-MX"/>
              </w:rPr>
              <w:t xml:space="preserve"> conllevan a la realización de múltiples y variadas actividades, por lo que el contratista debe estar en capacidad de ejecutar el objeto del contrato, contando con una infraestructura logística, técnica y con el talento humano necesario para realizar y cumplir las obligaciones contractuales tales como: brindar capacitación a la comunidad del Municipio a través de Seminarios, charlas, Talleres, proporcionar refrigerios cuando se requiera, disponer de toda la logística necesaria para la realización de convocatorias, inscripciones, controles de asistencia, elaboración de certificados de participación en los eventos, presentación de informes a la comunidad y las demás actividades que requiera la Personería de conformidad con el objeto contractual. 8. Que 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así entonces, de conformidad con el artículo 81 del Decreto 1510 de 2013 para lograr el objetivo propuesto se debe contratar una persona natural o jurídica que cuente con la experiencia y conocimientos para que preste a la Personería de Itagüí, el apoyo a la gestión en materia de formación ciudadana. 9. Que la Ley 80 de 1993, 1150 de 2007 y de conformidad al artículo 2.2.1.2.1.4.9 del Decreto 1082 de 2015, autorizan la contratación de una persona natural o jurídica directamente, que acredite idoneidad o experiencia y capacidad de garantizar la debida ejecución de las actividades de formación ciudadana programadas por la entidad, suscribiendo un contrato de prestación de servicios profesional y de apoyo a la gestión sin que sea necesario obtener previamente varias ofertas. 10. Que conforme los documentos anexos a la propuesta, la empresa CORPORACIÓN PARA LA EDUCACIÓN, CULTURA Y EMPRENDIMIENTO COMUNITARIO KABABI reúne los requisitos de idoneidad y experiencia necesarios para ejecutar el objeto del contrato para la prestación de servicios profesionales y de apoyo a la gestión requerida, siendo viable su contratación.</w:t>
            </w:r>
            <w:r w:rsidR="003D1CBD" w:rsidRPr="001C5AA9">
              <w:rPr>
                <w:rFonts w:ascii="Arial" w:hAnsi="Arial" w:cs="Arial"/>
                <w:sz w:val="20"/>
                <w:szCs w:val="20"/>
                <w:lang w:val="es-MX"/>
              </w:rPr>
              <w:t xml:space="preserve"> 11</w:t>
            </w:r>
            <w:r w:rsidRPr="001C5AA9">
              <w:rPr>
                <w:rFonts w:ascii="Arial" w:hAnsi="Arial" w:cs="Arial"/>
                <w:sz w:val="20"/>
                <w:szCs w:val="20"/>
                <w:lang w:val="es-MX"/>
              </w:rPr>
              <w:t>. Que la Personería Municipal desarrolló los respectivos e</w:t>
            </w:r>
            <w:r w:rsidR="003D1CBD" w:rsidRPr="001C5AA9">
              <w:rPr>
                <w:rFonts w:ascii="Arial" w:hAnsi="Arial" w:cs="Arial"/>
                <w:sz w:val="20"/>
                <w:szCs w:val="20"/>
                <w:lang w:val="es-MX"/>
              </w:rPr>
              <w:t>studios y documentos previos. 12</w:t>
            </w:r>
            <w:r w:rsidRPr="001C5AA9">
              <w:rPr>
                <w:rFonts w:ascii="Arial" w:hAnsi="Arial" w:cs="Arial"/>
                <w:sz w:val="20"/>
                <w:szCs w:val="20"/>
                <w:lang w:val="es-MX"/>
              </w:rPr>
              <w:t>. Que el Proceso de Contratación se encuentra incluido en el Plan Anual de Adquisiciones para la presente vigencia fiscal. 1</w:t>
            </w:r>
            <w:r w:rsidR="003D1CBD" w:rsidRPr="001C5AA9">
              <w:rPr>
                <w:rFonts w:ascii="Arial" w:hAnsi="Arial" w:cs="Arial"/>
                <w:sz w:val="20"/>
                <w:szCs w:val="20"/>
                <w:lang w:val="es-MX"/>
              </w:rPr>
              <w:t>3</w:t>
            </w:r>
            <w:r w:rsidRPr="001C5AA9">
              <w:rPr>
                <w:rFonts w:ascii="Arial" w:hAnsi="Arial" w:cs="Arial"/>
                <w:sz w:val="20"/>
                <w:szCs w:val="20"/>
                <w:lang w:val="es-MX"/>
              </w:rPr>
              <w:t>. Que el presente contrato se enmarca dentro de las calidades de idoneidad y experiencia de EL CONTRATISTA, escogido para el apoyo a todas las funciones que debe desarrollar en virtud del objeto contractual. 1</w:t>
            </w:r>
            <w:r w:rsidR="003D1CBD" w:rsidRPr="001C5AA9">
              <w:rPr>
                <w:rFonts w:ascii="Arial" w:hAnsi="Arial" w:cs="Arial"/>
                <w:sz w:val="20"/>
                <w:szCs w:val="20"/>
                <w:lang w:val="es-MX"/>
              </w:rPr>
              <w:t>4</w:t>
            </w:r>
            <w:r w:rsidRPr="001C5AA9">
              <w:rPr>
                <w:rFonts w:ascii="Arial" w:hAnsi="Arial" w:cs="Arial"/>
                <w:sz w:val="20"/>
                <w:szCs w:val="20"/>
                <w:lang w:val="es-MX"/>
              </w:rPr>
              <w:t>. Que una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Prestación de servicios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r w:rsidRPr="001C5AA9">
              <w:rPr>
                <w:rFonts w:ascii="Arial" w:eastAsia="Calibri" w:hAnsi="Arial" w:cs="Arial"/>
                <w:color w:val="000000"/>
                <w:sz w:val="20"/>
                <w:szCs w:val="20"/>
                <w:lang w:eastAsia="en-US"/>
              </w:rPr>
              <w:t xml:space="preserve"> SEGUNDA: PLAZO DE EJECUCIÓN DEL CONTRATO. </w:t>
            </w:r>
            <w:r w:rsidRPr="001C5AA9">
              <w:rPr>
                <w:rFonts w:ascii="Arial" w:hAnsi="Arial" w:cs="Arial"/>
                <w:color w:val="000000"/>
                <w:sz w:val="20"/>
                <w:szCs w:val="20"/>
              </w:rPr>
              <w:t xml:space="preserve">El plazo estipulado para este contrato es de </w:t>
            </w:r>
            <w:r w:rsidR="003C367B" w:rsidRPr="001C5AA9">
              <w:rPr>
                <w:rFonts w:ascii="Arial" w:hAnsi="Arial" w:cs="Arial"/>
                <w:color w:val="000000"/>
                <w:sz w:val="20"/>
                <w:szCs w:val="20"/>
              </w:rPr>
              <w:t xml:space="preserve">trescientos veintitrés (323) días </w:t>
            </w:r>
            <w:r w:rsidRPr="001C5AA9">
              <w:rPr>
                <w:rFonts w:ascii="Arial" w:hAnsi="Arial" w:cs="Arial"/>
                <w:color w:val="000000"/>
                <w:sz w:val="20"/>
                <w:szCs w:val="20"/>
              </w:rPr>
              <w:t xml:space="preserve">a partir del acta de inicio suscrita entre el contratista y el supervisor designado para el contrato, sin que el plazo exceda el treinta (30) de diciembre de dos mil </w:t>
            </w:r>
            <w:r w:rsidR="00FB4F63" w:rsidRPr="001C5AA9">
              <w:rPr>
                <w:rFonts w:ascii="Arial" w:hAnsi="Arial" w:cs="Arial"/>
                <w:color w:val="000000"/>
                <w:sz w:val="20"/>
                <w:szCs w:val="20"/>
              </w:rPr>
              <w:t>veinti</w:t>
            </w:r>
            <w:r w:rsidR="003C367B" w:rsidRPr="001C5AA9">
              <w:rPr>
                <w:rFonts w:ascii="Arial" w:hAnsi="Arial" w:cs="Arial"/>
                <w:color w:val="000000"/>
                <w:sz w:val="20"/>
                <w:szCs w:val="20"/>
              </w:rPr>
              <w:t>dós</w:t>
            </w:r>
            <w:r w:rsidR="00FB4F63" w:rsidRPr="001C5AA9">
              <w:rPr>
                <w:rFonts w:ascii="Arial" w:hAnsi="Arial" w:cs="Arial"/>
                <w:color w:val="000000"/>
                <w:sz w:val="20"/>
                <w:szCs w:val="20"/>
              </w:rPr>
              <w:t xml:space="preserve"> (202</w:t>
            </w:r>
            <w:r w:rsidR="003C367B" w:rsidRPr="001C5AA9">
              <w:rPr>
                <w:rFonts w:ascii="Arial" w:hAnsi="Arial" w:cs="Arial"/>
                <w:color w:val="000000"/>
                <w:sz w:val="20"/>
                <w:szCs w:val="20"/>
              </w:rPr>
              <w:t>2</w:t>
            </w:r>
            <w:r w:rsidRPr="001C5AA9">
              <w:rPr>
                <w:rFonts w:ascii="Arial" w:hAnsi="Arial" w:cs="Arial"/>
                <w:color w:val="000000"/>
                <w:sz w:val="20"/>
                <w:szCs w:val="20"/>
              </w:rPr>
              <w:t>).</w:t>
            </w:r>
            <w:r w:rsidR="00FB4F63" w:rsidRPr="001C5AA9">
              <w:rPr>
                <w:rFonts w:ascii="Arial" w:hAnsi="Arial" w:cs="Arial"/>
                <w:color w:val="000000"/>
                <w:sz w:val="20"/>
                <w:szCs w:val="20"/>
              </w:rPr>
              <w:t xml:space="preserve"> </w:t>
            </w:r>
            <w:r w:rsidRPr="001C5AA9">
              <w:rPr>
                <w:rFonts w:ascii="Arial" w:hAnsi="Arial" w:cs="Arial"/>
                <w:sz w:val="20"/>
                <w:szCs w:val="20"/>
                <w:lang w:val="es-ES_tradnl"/>
              </w:rPr>
              <w:t>Los plazos aquí fijados serán suspendidos cuando se presenten circunstancias que así lo justifiquen, en casos de fuerza mayor o caso fortuito</w:t>
            </w:r>
            <w:r w:rsidRPr="001C5AA9">
              <w:rPr>
                <w:rFonts w:ascii="Arial" w:eastAsia="Calibri" w:hAnsi="Arial" w:cs="Arial"/>
                <w:color w:val="000000"/>
                <w:sz w:val="20"/>
                <w:szCs w:val="20"/>
                <w:lang w:eastAsia="en-US"/>
              </w:rPr>
              <w:t>.</w:t>
            </w:r>
            <w:r w:rsidRPr="001C5AA9">
              <w:rPr>
                <w:rFonts w:ascii="Arial" w:hAnsi="Arial" w:cs="Arial"/>
                <w:color w:val="000000"/>
                <w:sz w:val="20"/>
                <w:szCs w:val="20"/>
              </w:rPr>
              <w:t xml:space="preserve"> TERCERA: VALOR</w:t>
            </w:r>
            <w:r w:rsidR="00FB4F63" w:rsidRPr="001C5AA9">
              <w:rPr>
                <w:rFonts w:ascii="Arial" w:hAnsi="Arial" w:cs="Arial"/>
                <w:color w:val="000000"/>
                <w:sz w:val="20"/>
                <w:szCs w:val="20"/>
              </w:rPr>
              <w:t>: SETENTA</w:t>
            </w:r>
            <w:r w:rsidRPr="001C5AA9">
              <w:rPr>
                <w:rFonts w:ascii="Arial" w:hAnsi="Arial" w:cs="Arial"/>
                <w:sz w:val="20"/>
                <w:szCs w:val="20"/>
              </w:rPr>
              <w:t xml:space="preserve"> MILLONES DE PESOS ($</w:t>
            </w:r>
            <w:r w:rsidR="00FB4F63" w:rsidRPr="001C5AA9">
              <w:rPr>
                <w:rFonts w:ascii="Arial" w:hAnsi="Arial" w:cs="Arial"/>
                <w:sz w:val="20"/>
                <w:szCs w:val="20"/>
              </w:rPr>
              <w:t>70</w:t>
            </w:r>
            <w:r w:rsidRPr="001C5AA9">
              <w:rPr>
                <w:rFonts w:ascii="Arial" w:hAnsi="Arial" w:cs="Arial"/>
                <w:sz w:val="20"/>
                <w:szCs w:val="20"/>
              </w:rPr>
              <w:t>.000.000).</w:t>
            </w:r>
            <w:r w:rsidRPr="001C5AA9">
              <w:rPr>
                <w:rFonts w:ascii="Arial" w:hAnsi="Arial" w:cs="Arial"/>
                <w:color w:val="000000"/>
                <w:sz w:val="20"/>
                <w:szCs w:val="20"/>
              </w:rPr>
              <w:t xml:space="preserve"> CUARTA: FORMA DE PAGO. La Personería cancelará al CONTRATISTA, la suma estipulada en la cláusula anterior de la siguiente manera: P</w:t>
            </w:r>
            <w:r w:rsidRPr="001C5AA9">
              <w:rPr>
                <w:rFonts w:ascii="Arial" w:hAnsi="Arial" w:cs="Arial"/>
                <w:bCs/>
                <w:color w:val="000000"/>
                <w:sz w:val="20"/>
                <w:szCs w:val="20"/>
              </w:rPr>
              <w:t>agos parciales por evento realizado en cumplimiento del objeto del contrato, con la presentación del informe de actividades y la certificación de recibido a plena satisfacción a través del acta de informe de supervisión suscrito por el Personero o el Supervisor designado y presentación de la factura de venta correspondiente</w:t>
            </w:r>
            <w:r w:rsidRPr="001C5AA9">
              <w:rPr>
                <w:rFonts w:ascii="Arial" w:hAnsi="Arial" w:cs="Arial"/>
                <w:color w:val="000000"/>
                <w:sz w:val="20"/>
                <w:szCs w:val="20"/>
              </w:rPr>
              <w:t xml:space="preserve"> y la certificación de encontrarse a paz y salvo por concepto de seguridad social integral y parafiscales</w:t>
            </w:r>
            <w:r w:rsidR="00FB4F63" w:rsidRPr="001C5AA9">
              <w:rPr>
                <w:rFonts w:ascii="Arial" w:hAnsi="Arial" w:cs="Arial"/>
                <w:color w:val="000000"/>
                <w:sz w:val="20"/>
                <w:szCs w:val="20"/>
              </w:rPr>
              <w:t xml:space="preserve">. </w:t>
            </w:r>
            <w:r w:rsidRPr="001C5AA9">
              <w:rPr>
                <w:rFonts w:ascii="Arial" w:hAnsi="Arial" w:cs="Arial"/>
                <w:color w:val="000000"/>
                <w:sz w:val="20"/>
                <w:szCs w:val="20"/>
              </w:rPr>
              <w:t xml:space="preserve"> QUINTA: OBLIGACIONES Y ACTIVIDADES ESPECÍFICAS DEL CONTRATISTA. Para efectos del cumplimiento del contrato el contratista deberá cumplir con las siguientes ACTIVIDADES </w:t>
            </w:r>
            <w:r w:rsidRPr="001C5AA9">
              <w:rPr>
                <w:rFonts w:ascii="Arial" w:hAnsi="Arial" w:cs="Arial"/>
                <w:color w:val="000000"/>
                <w:sz w:val="20"/>
                <w:szCs w:val="20"/>
                <w:lang w:val="es-ES_tradnl"/>
              </w:rPr>
              <w:t>QUE PERMITEN DESARROLLAR EL ALCANCE DEL OBJETO: 1</w:t>
            </w:r>
            <w:r w:rsidRPr="001C5AA9">
              <w:rPr>
                <w:rFonts w:ascii="Arial" w:hAnsi="Arial" w:cs="Arial"/>
                <w:sz w:val="20"/>
                <w:szCs w:val="20"/>
              </w:rPr>
              <w:t xml:space="preserve">. Establecer con el supervisor del contrato, la necesidad de cada uno de los eventos de </w:t>
            </w:r>
            <w:r w:rsidR="00FB4F63" w:rsidRPr="001C5AA9">
              <w:rPr>
                <w:rFonts w:ascii="Arial" w:hAnsi="Arial" w:cs="Arial"/>
                <w:sz w:val="20"/>
                <w:szCs w:val="20"/>
              </w:rPr>
              <w:t>formación ciudadana</w:t>
            </w:r>
            <w:r w:rsidRPr="001C5AA9">
              <w:rPr>
                <w:rFonts w:ascii="Arial" w:hAnsi="Arial" w:cs="Arial"/>
                <w:sz w:val="20"/>
                <w:szCs w:val="20"/>
              </w:rPr>
              <w:t xml:space="preserve"> a través de una bitácora con </w:t>
            </w:r>
            <w:r w:rsidRPr="001C5AA9">
              <w:rPr>
                <w:rFonts w:ascii="Arial" w:hAnsi="Arial" w:cs="Arial"/>
                <w:sz w:val="20"/>
                <w:szCs w:val="20"/>
              </w:rPr>
              <w:lastRenderedPageBreak/>
              <w:t xml:space="preserve">las especificaciones del evento conformidad con la particularidad, características y elementos necesarios para cada uno de ellos, esto es: lugares seleccionados, requerimientos logísticos, operativos y técnicos. </w:t>
            </w:r>
            <w:r w:rsidRPr="001C5AA9">
              <w:rPr>
                <w:rStyle w:val="Cuerpodeltexto2115ptoNegrita"/>
                <w:sz w:val="20"/>
                <w:szCs w:val="20"/>
              </w:rPr>
              <w:t>2.</w:t>
            </w:r>
            <w:r w:rsidR="00FB4F63" w:rsidRPr="001C5AA9">
              <w:rPr>
                <w:rStyle w:val="Cuerpodeltexto2115ptoNegrita"/>
                <w:sz w:val="20"/>
                <w:szCs w:val="20"/>
              </w:rPr>
              <w:t xml:space="preserve"> </w:t>
            </w:r>
            <w:r w:rsidRPr="001C5AA9">
              <w:rPr>
                <w:rFonts w:ascii="Arial" w:hAnsi="Arial" w:cs="Arial"/>
                <w:sz w:val="20"/>
                <w:szCs w:val="20"/>
              </w:rPr>
              <w:t xml:space="preserve">Desarrollar las actividades logísticas necesarias y disponer del recurso humano, insumos y equipos suficiente para la realización de los eventos plasmados en el programa de </w:t>
            </w:r>
            <w:r w:rsidR="00FB4F63" w:rsidRPr="001C5AA9">
              <w:rPr>
                <w:rFonts w:ascii="Arial" w:hAnsi="Arial" w:cs="Arial"/>
                <w:sz w:val="20"/>
                <w:szCs w:val="20"/>
              </w:rPr>
              <w:t>formación ciudadana</w:t>
            </w:r>
            <w:r w:rsidRPr="001C5AA9">
              <w:rPr>
                <w:rFonts w:ascii="Arial" w:hAnsi="Arial" w:cs="Arial"/>
                <w:sz w:val="20"/>
                <w:szCs w:val="20"/>
              </w:rPr>
              <w:t xml:space="preserve"> tales como sillas, tarima, luces, sonido, micrófonos, manteles, mesas, ayudas audiovisuales, alimentación, flores, hidratación, entre otros elementos; según lo solicitado por el supervisor del contrato y con el cumplimiento de las especificaciones pactadas de manera previa (el supervisor del contrato y el contratista) para cada evento.</w:t>
            </w:r>
            <w:r w:rsidRPr="001C5AA9">
              <w:rPr>
                <w:rStyle w:val="Cuerpodeltexto2115ptoNegrita"/>
                <w:sz w:val="20"/>
                <w:szCs w:val="20"/>
              </w:rPr>
              <w:t xml:space="preserve">OBLIGACIONES:1. </w:t>
            </w:r>
            <w:r w:rsidRPr="001C5AA9">
              <w:rPr>
                <w:rFonts w:ascii="Arial" w:hAnsi="Arial" w:cs="Arial"/>
                <w:sz w:val="20"/>
                <w:szCs w:val="20"/>
              </w:rPr>
              <w:t xml:space="preserve">Entregar informe por evento realizado en medio físico y magnético donde se relacionen las actividades ejecutadas, con sus respectivas evidencias tales como: los respectivos registros fotográficos, las necesidades consignadas con lista de asistencia así como el valor del mismo en concordancia con el valor estimado para cada evento, teniendo en cuenta que se asignará un valor global a cada evento, valor que se llevará a una realidad presupuestal al momento del futuro contratista facturar, donde deberá discriminar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.valor exacto del mismo; y demás evidencias pertinentes. 2. </w:t>
            </w:r>
            <w:r w:rsidRPr="001C5AA9">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3. </w:t>
            </w:r>
            <w:r w:rsidRPr="001C5AA9">
              <w:rPr>
                <w:rFonts w:ascii="Arial" w:hAnsi="Arial" w:cs="Arial"/>
                <w:sz w:val="20"/>
                <w:szCs w:val="20"/>
              </w:rPr>
              <w:t xml:space="preserve">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w:t>
            </w:r>
            <w:r w:rsidRPr="001C5AA9">
              <w:rPr>
                <w:rFonts w:ascii="Arial" w:hAnsi="Arial" w:cs="Arial"/>
                <w:sz w:val="20"/>
                <w:szCs w:val="20"/>
                <w:lang w:val="es-ES_tradnl"/>
              </w:rPr>
              <w:t xml:space="preserve">Acreditar los pagos mensuales a la seguridad social integral. 7. </w:t>
            </w:r>
            <w:r w:rsidRPr="001C5AA9">
              <w:rPr>
                <w:rFonts w:ascii="Arial" w:hAnsi="Arial" w:cs="Arial"/>
                <w:sz w:val="20"/>
                <w:szCs w:val="20"/>
              </w:rPr>
              <w:t>Las demás obligaciones requeridas para el cumplimiento del objeto del contrato. 8. El</w:t>
            </w:r>
            <w:r w:rsidRPr="001C5AA9">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 SEXTA</w:t>
            </w:r>
            <w:r w:rsidRPr="001C5AA9">
              <w:rPr>
                <w:rFonts w:ascii="Arial" w:hAnsi="Arial" w:cs="Arial"/>
                <w:sz w:val="20"/>
                <w:szCs w:val="20"/>
              </w:rPr>
              <w:t>:</w:t>
            </w:r>
            <w:r w:rsidRPr="001C5AA9">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1C5AA9">
              <w:rPr>
                <w:rFonts w:ascii="Arial" w:hAnsi="Arial" w:cs="Arial"/>
                <w:sz w:val="20"/>
                <w:szCs w:val="20"/>
                <w:lang w:val="es-ES_tradnl"/>
              </w:rPr>
              <w:t xml:space="preserve">: </w:t>
            </w:r>
            <w:r w:rsidRPr="001C5AA9">
              <w:rPr>
                <w:rFonts w:ascii="Arial" w:hAnsi="Arial" w:cs="Arial"/>
                <w:noProof/>
                <w:spacing w:val="-2"/>
                <w:sz w:val="20"/>
                <w:szCs w:val="20"/>
              </w:rPr>
              <w:t xml:space="preserve">GARANTIAS. 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PARAGRAFO PRIMERO: El término de estas garantías correrá a partir de la iniciación de la vigencia de los amparos y estará sujeta a la aprobación de la entidad  y no expirará por falta de pago de la prima o revocatoria unilateral. PARAGRAFO SEGUNDO: Si la compañía de seguros establece en la pólizas algun porcentaje como deducible y lo hace efectivo en caso de siniestro, el mismo será asumido por el contratista. PARAGRAFO TERCERO: La entidad aseguradora o garante reponderá a la Entidad por el pago de todas las sumas que se hacen exigibles al contratista, por razón de incumplimiento de cualquiera de las obligaciones derivadas del contrato, incluso por el pago de la cláusula penal. PARAGRAFO CUARTO: La Personería solo aprobará de conformidad con la normatividad vigente para la matería, las garantías que sean expedidas por compañías de seguros legamente constituidas en Colombia, cuyo margen de solvencia y patrimonio técnico estén legalmente autorizados. PARAGRAFO QUINTO: Reposición de las garantías. El contratista repondrá el monto de las garantías cada vez que en razón de sanciones impuesta o por otro hecho se disminuyeren o agotaren, es decir, cuando por razón de siniestros se afecte su valor. PARAGRAFO SEXTO: 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Itaguí podrá declarar la caducidad del mismo. Si el contrato no se liquida dentro de los cuatro (4) meses </w:t>
            </w:r>
            <w:r w:rsidRPr="001C5AA9">
              <w:rPr>
                <w:rFonts w:ascii="Arial" w:hAnsi="Arial" w:cs="Arial"/>
                <w:noProof/>
                <w:spacing w:val="-2"/>
                <w:sz w:val="20"/>
                <w:szCs w:val="20"/>
              </w:rPr>
              <w:lastRenderedPageBreak/>
              <w:t>siguientes a su terminación, el plazo de los amparos deberá ampliarse hasta la liquidación del mismo. OCTAVA: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NOVENA</w:t>
            </w:r>
            <w:r w:rsidRPr="001C5AA9">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1C5AA9">
              <w:rPr>
                <w:rFonts w:ascii="Arial" w:hAnsi="Arial" w:cs="Arial"/>
                <w:noProof/>
                <w:spacing w:val="-2"/>
                <w:sz w:val="20"/>
                <w:szCs w:val="20"/>
              </w:rPr>
              <w:t>DECIMA</w:t>
            </w:r>
            <w:r w:rsidRPr="001C5AA9">
              <w:rPr>
                <w:rFonts w:ascii="Arial" w:hAnsi="Arial" w:cs="Arial"/>
                <w:sz w:val="20"/>
                <w:szCs w:val="20"/>
                <w:lang w:val="es-ES_tradnl"/>
              </w:rPr>
              <w:t xml:space="preserve">: </w:t>
            </w:r>
            <w:r w:rsidRPr="001C5AA9">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 PRIMERA</w:t>
            </w:r>
            <w:r w:rsidRPr="001C5AA9">
              <w:rPr>
                <w:rFonts w:ascii="Arial" w:hAnsi="Arial" w:cs="Arial"/>
                <w:sz w:val="20"/>
                <w:szCs w:val="20"/>
                <w:lang w:val="es-ES_tradnl"/>
              </w:rPr>
              <w:t>:</w:t>
            </w:r>
            <w:r w:rsidRPr="001C5AA9">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SEGUNDA</w:t>
            </w:r>
            <w:r w:rsidRPr="001C5AA9">
              <w:rPr>
                <w:rFonts w:ascii="Arial" w:hAnsi="Arial" w:cs="Arial"/>
                <w:sz w:val="20"/>
                <w:szCs w:val="20"/>
                <w:lang w:val="es-ES_tradnl"/>
              </w:rPr>
              <w:t>:</w:t>
            </w:r>
            <w:r w:rsidRPr="001C5AA9">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1C5AA9">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1C5AA9">
              <w:rPr>
                <w:rFonts w:ascii="Arial" w:hAnsi="Arial" w:cs="Arial"/>
                <w:noProof/>
                <w:spacing w:val="-2"/>
                <w:sz w:val="20"/>
                <w:szCs w:val="20"/>
              </w:rPr>
              <w:t>. DECIMA TERCERA: CLÁUSULAS EXCEPCIONALES. El presente contrato se regirá por la clausulas excepcionales de caducidad, interpretación, modificación y teminación unilaterals, conforme lo consagran las normas sobre la materia. PARAGRAFO PRIMERO. Sanciones sobre el incumplimiento. 1. PENAL PECUNIARIA. Sin perjuicio de lo dispuesto en las cláusulas anteriores, La Personería de Itaguí podrá imponer al CONTRATISTA, en caso de declaratoria de caducidad o de incumplimiento, como pena, una suma equivalente al diez por ciento (10%) del valor del contrato, suma que la entidad hará efectiva mediante el cobro de la garantía unica de cumplimiento o a su elección de los costos que adeude al contratista si los hubiere, para lo cual se entiende expresamente autorizado con la subscripción del contrato, si esto no fuere posible, se cobrará por vía judicial. La aplicación de la cláusula penal no excluye la indemnización de perjuicios. 2. MULTA. Sin perjuicio de la declaratoria de incumplimiento o caducidad, en los eventos en que el contratista incurra en mora o incumplimiento parcial de las obligaciones que por este contrato adquiere, se le aplicarán las siguientes multas, que no atenuan las demás atribuciones de la entidad establecidas en la ley: – por cada día de retardo en la entrega o cuando los trabajos no avanzaren al ritmo necesario para garantizar la entrega en el plazo estipulado, se le aplicará una multa equivalente al uno por mil (1/1000) del valor del contrato. – Cuando no diere inicio o reinicio, según el caso, a los trabajos en forma oportuna, en la fecha determinada, o por suspensión de la misma sin causa justificada, o por causa imputables al contratista, se le aplicacará una multa uno por mil (1/1000) del valor del contrato. – Por no acatar las órdenes a la interventoría por todo lo que concierne al funcionamiento técnico. PARÁGRAFO SEGUNDO. DE LA APLICACIÓN DE LA MULTA Y LA CLÁUSULA PENAL PECUNIARIA. Para la imposición de las multas, la Personería, previo agotamiento del debido proceso y en concordancia con lo previsto en el artículo 86 de la ley 1474 de 2011, mediante resolución motivada impondra las mismas. Una vez ejecutoriados los actos administrativos que la imponen se podrá acudir para tal efecto entre otros, a los mecanismos de compensación de las sumas adeudadas al contratista, se podrán tomar dichos valores del saldo a favor del CONTRATISTA o de las garantías constituÍdas, también se podrá acudir a cualquier otro medio para lograr el pago. DECIMA CUARTA: 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QUINTA</w:t>
            </w:r>
            <w:r w:rsidRPr="001C5AA9">
              <w:rPr>
                <w:rFonts w:ascii="Arial" w:hAnsi="Arial" w:cs="Arial"/>
                <w:noProof/>
                <w:spacing w:val="-2"/>
                <w:sz w:val="20"/>
                <w:szCs w:val="20"/>
                <w:lang w:val="es-ES_tradnl"/>
              </w:rPr>
              <w:t>:</w:t>
            </w:r>
            <w:r w:rsidRPr="001C5AA9">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EL CONTRATISTA se obliga por su cuenta y riesgo, a título de contratista independiente. La Personería en consecuencia, no adquiere ningún vínculo de carácter laboral ni administrativo con él. DECIMA SEXTA.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SEPTIMA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 xml:space="preserve">SUPERVISIÓN. La Supervisión de este contrato estará a cargo del Personero o a quien el Personero delegue, </w:t>
            </w:r>
            <w:r w:rsidRPr="001C5AA9">
              <w:rPr>
                <w:rFonts w:ascii="Arial" w:hAnsi="Arial" w:cs="Arial"/>
                <w:noProof/>
                <w:spacing w:val="-2"/>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1C5AA9">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OCTAVA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DÉCIMA NOVENA</w:t>
            </w:r>
            <w:r w:rsidRPr="001C5AA9">
              <w:rPr>
                <w:rFonts w:ascii="Arial" w:hAnsi="Arial" w:cs="Arial"/>
                <w:noProof/>
                <w:spacing w:val="-2"/>
                <w:sz w:val="20"/>
                <w:szCs w:val="20"/>
                <w:lang w:val="es-ES_tradnl"/>
              </w:rPr>
              <w:t>:</w:t>
            </w:r>
            <w:r w:rsidRPr="001C5AA9">
              <w:rPr>
                <w:rFonts w:ascii="Arial" w:hAnsi="Arial" w:cs="Arial"/>
                <w:noProof/>
                <w:spacing w:val="-2"/>
                <w:sz w:val="20"/>
                <w:szCs w:val="20"/>
              </w:rPr>
              <w:t>SITUACION JURIDICA DEL CONTRATISTA. El presente contrato será ejecutado por el contratista con aboluta autonomía e independencia, por lo tanto, de conformidad a lo dispuesto en la Ley 80 de 1993 y demas normas que rigen la materia, el contratista se considera para efectos de este contrato como independiente, y en consecuencia la Personería de itaguí no adquiere ningun tipo de vinculo laboral con él, ni con las personas que dependen de él o que contrate para el desarrollo de este contrato; por lo tanto, el pago de salarios y prestaciones de este personal estará a cargo exclusivamente del contratista.VIGESIMA</w:t>
            </w:r>
            <w:r w:rsidRPr="001C5AA9">
              <w:rPr>
                <w:rFonts w:ascii="Arial" w:hAnsi="Arial" w:cs="Arial"/>
                <w:noProof/>
                <w:spacing w:val="-2"/>
                <w:sz w:val="20"/>
                <w:szCs w:val="20"/>
                <w:lang w:val="es-ES_tradnl"/>
              </w:rPr>
              <w:t>:</w:t>
            </w:r>
            <w:r w:rsidRPr="001C5AA9">
              <w:rPr>
                <w:rFonts w:ascii="Arial" w:hAnsi="Arial" w:cs="Arial"/>
                <w:noProof/>
                <w:spacing w:val="-2"/>
                <w:sz w:val="20"/>
                <w:szCs w:val="20"/>
              </w:rPr>
              <w:t xml:space="preserve">IMPUTACIÓN DE GASTOS. IMPUTACIÓN DE GASTOS. </w:t>
            </w:r>
            <w:r w:rsidRPr="001C5AA9">
              <w:rPr>
                <w:rFonts w:ascii="Arial" w:hAnsi="Arial" w:cs="Arial"/>
                <w:noProof/>
                <w:spacing w:val="-2"/>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FB4F63" w:rsidRPr="001C5AA9">
              <w:rPr>
                <w:rFonts w:ascii="Arial" w:hAnsi="Arial" w:cs="Arial"/>
                <w:sz w:val="20"/>
                <w:szCs w:val="20"/>
              </w:rPr>
              <w:t>16.2.1.2.02.02.008.01-01</w:t>
            </w:r>
            <w:r w:rsidR="00FB4F63" w:rsidRPr="001C5AA9">
              <w:rPr>
                <w:rFonts w:ascii="Arial" w:hAnsi="Arial" w:cs="Arial"/>
                <w:noProof/>
                <w:spacing w:val="-2"/>
                <w:sz w:val="20"/>
                <w:szCs w:val="20"/>
              </w:rPr>
              <w:t>“</w:t>
            </w:r>
            <w:r w:rsidR="00FB4F63" w:rsidRPr="001C5AA9">
              <w:rPr>
                <w:rFonts w:ascii="Arial" w:hAnsi="Arial" w:cs="Arial"/>
                <w:sz w:val="20"/>
                <w:szCs w:val="20"/>
              </w:rPr>
              <w:t>SERVICIOS PRESTADOS A LAS EMPRESAS Y SERVICIOS DE PRODUCCIÓN | REMUNERACION SERVICIOS TECNICOS</w:t>
            </w:r>
            <w:r w:rsidR="00FB4F63" w:rsidRPr="001C5AA9">
              <w:rPr>
                <w:rFonts w:ascii="Arial" w:hAnsi="Arial" w:cs="Arial"/>
                <w:noProof/>
                <w:spacing w:val="-2"/>
                <w:sz w:val="20"/>
                <w:szCs w:val="20"/>
                <w:lang w:val="es-ES_tradnl"/>
              </w:rPr>
              <w:t xml:space="preserve">” según Certificados de Disponibilidad Presupuestal números </w:t>
            </w:r>
            <w:r w:rsidR="003C367B" w:rsidRPr="001C5AA9">
              <w:rPr>
                <w:rFonts w:ascii="Arial" w:hAnsi="Arial" w:cs="Arial"/>
                <w:noProof/>
                <w:spacing w:val="-2"/>
                <w:sz w:val="20"/>
                <w:szCs w:val="20"/>
                <w:lang w:val="es-ES_tradnl"/>
              </w:rPr>
              <w:t>215 del 20 de enero de</w:t>
            </w:r>
            <w:r w:rsidR="00FB4F63" w:rsidRPr="001C5AA9">
              <w:rPr>
                <w:rFonts w:ascii="Arial" w:hAnsi="Arial" w:cs="Arial"/>
                <w:noProof/>
                <w:spacing w:val="-2"/>
                <w:sz w:val="20"/>
                <w:szCs w:val="20"/>
                <w:lang w:val="es-ES_tradnl"/>
              </w:rPr>
              <w:t xml:space="preserve"> 202</w:t>
            </w:r>
            <w:r w:rsidR="003C367B" w:rsidRPr="001C5AA9">
              <w:rPr>
                <w:rFonts w:ascii="Arial" w:hAnsi="Arial" w:cs="Arial"/>
                <w:noProof/>
                <w:spacing w:val="-2"/>
                <w:sz w:val="20"/>
                <w:szCs w:val="20"/>
                <w:lang w:val="es-ES_tradnl"/>
              </w:rPr>
              <w:t>2, expedidos por l</w:t>
            </w:r>
            <w:r w:rsidR="00FB4F63" w:rsidRPr="001C5AA9">
              <w:rPr>
                <w:rFonts w:ascii="Arial" w:hAnsi="Arial" w:cs="Arial"/>
                <w:noProof/>
                <w:spacing w:val="-2"/>
                <w:sz w:val="20"/>
                <w:szCs w:val="20"/>
                <w:lang w:val="es-ES_tradnl"/>
              </w:rPr>
              <w:t>a Secretaría de Hacienda del Municipio, documentos que hacen parte integral del contrato</w:t>
            </w:r>
            <w:r w:rsidRPr="001C5AA9">
              <w:rPr>
                <w:rFonts w:ascii="Arial" w:hAnsi="Arial" w:cs="Arial"/>
                <w:noProof/>
                <w:spacing w:val="-2"/>
                <w:sz w:val="20"/>
                <w:szCs w:val="20"/>
              </w:rPr>
              <w:t xml:space="preserve"> VIGÉSIMA PRIMERA</w:t>
            </w:r>
            <w:r w:rsidRPr="001C5AA9">
              <w:rPr>
                <w:rFonts w:ascii="Arial" w:hAnsi="Arial" w:cs="Arial"/>
                <w:noProof/>
                <w:spacing w:val="-2"/>
                <w:sz w:val="20"/>
                <w:szCs w:val="20"/>
                <w:lang w:val="es-ES_tradnl"/>
              </w:rPr>
              <w:t>:</w:t>
            </w:r>
            <w:r w:rsidRPr="001C5AA9">
              <w:rPr>
                <w:rFonts w:ascii="Arial" w:hAnsi="Arial" w:cs="Arial"/>
                <w:noProof/>
                <w:spacing w:val="-2"/>
                <w:sz w:val="20"/>
                <w:szCs w:val="20"/>
              </w:rPr>
              <w:t>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 xml:space="preserve">CLÁUSULA DE INDEMNIDAD. </w:t>
            </w:r>
            <w:r w:rsidRPr="001C5AA9">
              <w:rPr>
                <w:rFonts w:ascii="Arial" w:hAnsi="Arial" w:cs="Arial"/>
                <w:noProof/>
                <w:spacing w:val="-2"/>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1C5AA9">
              <w:rPr>
                <w:rFonts w:ascii="Arial" w:hAnsi="Arial" w:cs="Arial"/>
                <w:noProof/>
                <w:spacing w:val="-2"/>
                <w:sz w:val="20"/>
                <w:szCs w:val="20"/>
              </w:rPr>
              <w:t>. VIGÉSIMA TERCERA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 que rige para el presente contrato la Ley 80 de 1993, sus Decretos reglamentarios, Leyes modificatorias y las demás normas concordantes, así mismo se entiende incorporado en el contrato los siguientes documentos :1) Propuesta económica del contratista; 2) Comunicación de adjudicación; 3) Certificados de Disponibilidad. 4) Compromiso Presupuestal; 5) Formato único de hoja de vida de la Función Pública persona jurídica (ley 190 de 1995); 6) Formato de declaración de Bienes y Rentas persona jurídica, 7). Fotocopía cédula de ciudadanía del Representante Legal. 8). Certificado de existencia y representación expedido por la Cámara de Comercio donde esté matriculada la Entidad. 9).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10). Registro Único Tributario (RUT). En cuanto a los demás requisitos como son certificado de antecedentes disciplinarios de la Procuraduría y Certificación de la Contraloría sobre la responsabilidad fiscal serán consultados por la Personería Municipal. VIGÉSIMA CUARTA</w:t>
            </w:r>
            <w:r w:rsidRPr="001C5AA9">
              <w:rPr>
                <w:rFonts w:ascii="Arial" w:hAnsi="Arial" w:cs="Arial"/>
                <w:noProof/>
                <w:spacing w:val="-2"/>
                <w:sz w:val="20"/>
                <w:szCs w:val="20"/>
                <w:lang w:val="es-ES_tradnl"/>
              </w:rPr>
              <w:t xml:space="preserve">: </w:t>
            </w:r>
            <w:r w:rsidRPr="001C5AA9">
              <w:rPr>
                <w:rFonts w:ascii="Arial" w:hAnsi="Arial" w:cs="Arial"/>
                <w:bCs/>
                <w:noProof/>
                <w:spacing w:val="-2"/>
                <w:sz w:val="20"/>
                <w:szCs w:val="20"/>
                <w:lang w:val="es-ES_tradnl"/>
              </w:rPr>
              <w:t xml:space="preserve">LIQUIDACIÓN BILATERAL DEL CONTRATO. </w:t>
            </w:r>
            <w:r w:rsidRPr="001C5AA9">
              <w:rPr>
                <w:rFonts w:ascii="Arial" w:hAnsi="Arial" w:cs="Arial"/>
                <w:noProof/>
                <w:spacing w:val="-2"/>
                <w:sz w:val="20"/>
                <w:szCs w:val="20"/>
                <w:lang w:val="es-ES_tradnl"/>
              </w:rPr>
              <w:t xml:space="preserve">La liquidación del contrato, será de común acuerdo entre las partes dentro de los cuatro (4) meses siguientes a la terminación conforme a lo estipulado en el artículo 11 de la Ley 1150 de 2007. La liquidación se plasmará en el acta para tal fin. </w:t>
            </w:r>
            <w:r w:rsidRPr="001C5AA9">
              <w:rPr>
                <w:rFonts w:ascii="Arial" w:hAnsi="Arial" w:cs="Arial"/>
                <w:bCs/>
                <w:noProof/>
                <w:spacing w:val="-2"/>
                <w:sz w:val="20"/>
                <w:szCs w:val="20"/>
                <w:lang w:val="es-ES_tradnl"/>
              </w:rPr>
              <w:t xml:space="preserve">PARÁGRAFO: </w:t>
            </w:r>
            <w:r w:rsidRPr="001C5AA9">
              <w:rPr>
                <w:rFonts w:ascii="Arial" w:hAnsi="Arial" w:cs="Arial"/>
                <w:noProof/>
                <w:spacing w:val="-2"/>
                <w:sz w:val="20"/>
                <w:szCs w:val="20"/>
                <w:lang w:val="es-ES_tradnl"/>
              </w:rPr>
              <w:t>Si el CONTRATISTA no se presentare a la liquidación o no se llegare a un acuerdo sobre la misma, se efectuará la liquidación unilateral del contrato mediante resolución motivada. No obstante lo anterior, en caso de no existir divergencias en la ejecución del contrato, LA PERSONERIA podrá prescindir de la liquidación por tratarse de un contrato de prestación de servicios profesionales de conformidad con el artículo 217 del Decreto Ley 019 de 2012.</w:t>
            </w:r>
            <w:r w:rsidRPr="001C5AA9">
              <w:rPr>
                <w:rFonts w:ascii="Arial" w:hAnsi="Arial" w:cs="Arial"/>
                <w:noProof/>
                <w:spacing w:val="-2"/>
                <w:sz w:val="20"/>
                <w:szCs w:val="20"/>
              </w:rPr>
              <w:t xml:space="preserve"> VIGÉSIMA QUINTA</w:t>
            </w:r>
            <w:r w:rsidRPr="001C5AA9">
              <w:rPr>
                <w:rFonts w:ascii="Arial" w:hAnsi="Arial" w:cs="Arial"/>
                <w:noProof/>
                <w:spacing w:val="-2"/>
                <w:sz w:val="20"/>
                <w:szCs w:val="20"/>
                <w:lang w:val="es-ES_tradnl"/>
              </w:rPr>
              <w:t>:</w:t>
            </w:r>
            <w:r w:rsidRPr="001C5AA9">
              <w:rPr>
                <w:rFonts w:ascii="Arial" w:hAnsi="Arial" w:cs="Arial"/>
                <w:bCs/>
                <w:noProof/>
                <w:spacing w:val="-2"/>
                <w:sz w:val="20"/>
                <w:szCs w:val="20"/>
                <w:lang w:val="es-ES_tradnl"/>
              </w:rPr>
              <w:t xml:space="preserve">PAZ Y SALVOS: </w:t>
            </w:r>
            <w:r w:rsidRPr="001C5AA9">
              <w:rPr>
                <w:rFonts w:ascii="Arial" w:hAnsi="Arial" w:cs="Arial"/>
                <w:noProof/>
                <w:spacing w:val="-2"/>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1C5AA9">
              <w:rPr>
                <w:rFonts w:ascii="Arial" w:hAnsi="Arial" w:cs="Arial"/>
                <w:bCs/>
                <w:noProof/>
                <w:spacing w:val="-2"/>
                <w:sz w:val="20"/>
                <w:szCs w:val="20"/>
                <w:lang w:val="es-ES_tradnl"/>
              </w:rPr>
              <w:t xml:space="preserve">VIGÉSIMA </w:t>
            </w:r>
            <w:r w:rsidRPr="001C5AA9">
              <w:rPr>
                <w:rFonts w:ascii="Arial" w:hAnsi="Arial" w:cs="Arial"/>
                <w:noProof/>
                <w:spacing w:val="-2"/>
                <w:sz w:val="20"/>
                <w:szCs w:val="20"/>
              </w:rPr>
              <w:t>SEXTA</w:t>
            </w:r>
            <w:r w:rsidRPr="001C5AA9">
              <w:rPr>
                <w:rFonts w:ascii="Arial" w:hAnsi="Arial" w:cs="Arial"/>
                <w:bCs/>
                <w:noProof/>
                <w:spacing w:val="-2"/>
                <w:sz w:val="20"/>
                <w:szCs w:val="20"/>
                <w:lang w:val="es-ES_tradnl"/>
              </w:rPr>
              <w:t>:</w:t>
            </w:r>
            <w:r w:rsidRPr="001C5AA9">
              <w:rPr>
                <w:rFonts w:ascii="Arial" w:hAnsi="Arial" w:cs="Arial"/>
                <w:sz w:val="20"/>
                <w:szCs w:val="20"/>
                <w:lang w:val="es-ES_tradnl"/>
              </w:rPr>
              <w:t xml:space="preserve"> </w:t>
            </w:r>
            <w:r w:rsidR="00633F7D" w:rsidRPr="001C5AA9">
              <w:rPr>
                <w:rFonts w:ascii="Arial" w:hAnsi="Arial" w:cs="Arial"/>
                <w:bCs/>
                <w:sz w:val="20"/>
                <w:szCs w:val="20"/>
                <w:lang w:val="es-ES_tradnl"/>
              </w:rPr>
              <w:t xml:space="preserve">Atendiendo lo dispuesto por el </w:t>
            </w:r>
            <w:r w:rsidR="00633F7D" w:rsidRPr="001C5AA9">
              <w:rPr>
                <w:rFonts w:ascii="Arial" w:hAnsi="Arial" w:cs="Arial"/>
                <w:sz w:val="20"/>
                <w:szCs w:val="20"/>
                <w:lang w:val="es-ES_tradnl"/>
              </w:rPr>
              <w:t xml:space="preserve">Estatuto Tributario Municipal, al presente Contrato debe descontarse las estampillas a que haya lugar. </w:t>
            </w:r>
            <w:r w:rsidR="00633F7D" w:rsidRPr="001C5AA9">
              <w:rPr>
                <w:rFonts w:ascii="Arial" w:eastAsiaTheme="minorEastAsia" w:hAnsi="Arial" w:cs="Arial"/>
                <w:sz w:val="20"/>
                <w:szCs w:val="20"/>
              </w:rPr>
              <w:t>L</w:t>
            </w:r>
            <w:r w:rsidR="00633F7D" w:rsidRPr="001C5AA9">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w:t>
            </w:r>
            <w:proofErr w:type="gramStart"/>
            <w:r w:rsidR="00633F7D" w:rsidRPr="001C5AA9">
              <w:rPr>
                <w:rFonts w:ascii="Arial" w:hAnsi="Arial" w:cs="Arial"/>
                <w:sz w:val="20"/>
                <w:szCs w:val="20"/>
              </w:rPr>
              <w:t>.</w:t>
            </w:r>
            <w:r w:rsidRPr="001C5AA9">
              <w:rPr>
                <w:rFonts w:ascii="Arial" w:hAnsi="Arial" w:cs="Arial"/>
                <w:sz w:val="20"/>
                <w:szCs w:val="20"/>
              </w:rPr>
              <w:t>.</w:t>
            </w:r>
            <w:proofErr w:type="gramEnd"/>
            <w:r w:rsidRPr="001C5AA9">
              <w:rPr>
                <w:rFonts w:ascii="Arial" w:hAnsi="Arial" w:cs="Arial"/>
                <w:sz w:val="20"/>
                <w:szCs w:val="20"/>
              </w:rPr>
              <w:t xml:space="preserve"> V</w:t>
            </w:r>
            <w:r w:rsidRPr="001C5AA9">
              <w:rPr>
                <w:rFonts w:ascii="Arial" w:hAnsi="Arial" w:cs="Arial"/>
                <w:bCs/>
                <w:noProof/>
                <w:spacing w:val="-2"/>
                <w:sz w:val="20"/>
                <w:szCs w:val="20"/>
                <w:lang w:val="es-ES_tradnl"/>
              </w:rPr>
              <w:t xml:space="preserve">IGÉSIMA SEPTIMA: PUBLICACIÓN: </w:t>
            </w:r>
            <w:r w:rsidRPr="001C5AA9">
              <w:rPr>
                <w:rFonts w:ascii="Arial" w:hAnsi="Arial" w:cs="Arial"/>
                <w:noProof/>
                <w:spacing w:val="-2"/>
                <w:sz w:val="20"/>
                <w:szCs w:val="20"/>
                <w:lang w:val="es-ES_tradnl"/>
              </w:rPr>
              <w:t>El presente contrato deberá ser publicado por parte de la PERSONERIA en el SECOP dentro de los (3) días siguientes a la expedición del mismo.</w:t>
            </w:r>
            <w:r w:rsidRPr="001C5AA9">
              <w:rPr>
                <w:rFonts w:ascii="Arial" w:hAnsi="Arial" w:cs="Arial"/>
                <w:bCs/>
                <w:noProof/>
                <w:spacing w:val="-2"/>
                <w:sz w:val="20"/>
                <w:szCs w:val="20"/>
                <w:lang w:val="es-ES_tradnl"/>
              </w:rPr>
              <w:t xml:space="preserve">VIGESIMA OCTAVA: DOMICILIO: </w:t>
            </w:r>
            <w:r w:rsidRPr="001C5AA9">
              <w:rPr>
                <w:rFonts w:ascii="Arial" w:hAnsi="Arial" w:cs="Arial"/>
                <w:noProof/>
                <w:spacing w:val="-2"/>
                <w:sz w:val="20"/>
                <w:szCs w:val="20"/>
                <w:lang w:val="es-ES_tradnl"/>
              </w:rPr>
              <w:t>Para todos los efectos pertinentes al contrato se firma en la PESONERIA MUNICIPAL DE ITAGUI, edificio Judicial, CAMI, 5º Piso.</w:t>
            </w:r>
          </w:p>
        </w:tc>
      </w:tr>
    </w:tbl>
    <w:p w:rsidR="00156BED" w:rsidRPr="001C5AA9" w:rsidRDefault="00156BED" w:rsidP="00156BED">
      <w:pPr>
        <w:jc w:val="center"/>
        <w:rPr>
          <w:rFonts w:ascii="Arial" w:hAnsi="Arial" w:cs="Arial"/>
          <w:sz w:val="20"/>
          <w:szCs w:val="20"/>
          <w:lang w:val="es-MX"/>
        </w:rPr>
      </w:pPr>
    </w:p>
    <w:p w:rsidR="00156BED" w:rsidRPr="001C5AA9"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p>
    <w:p w:rsidR="00156BED" w:rsidRPr="001C5AA9"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1C5AA9">
        <w:rPr>
          <w:rFonts w:ascii="Arial" w:hAnsi="Arial" w:cs="Arial"/>
          <w:sz w:val="20"/>
          <w:szCs w:val="20"/>
        </w:rPr>
        <w:t>FECHA FIRMA DEL CONTRATO</w:t>
      </w:r>
    </w:p>
    <w:p w:rsidR="00156BED" w:rsidRPr="001C5AA9" w:rsidRDefault="00156BED" w:rsidP="00156BED">
      <w:pPr>
        <w:jc w:val="both"/>
        <w:rPr>
          <w:rFonts w:ascii="Arial" w:hAnsi="Arial" w:cs="Arial"/>
          <w:sz w:val="20"/>
          <w:szCs w:val="20"/>
        </w:rPr>
      </w:pPr>
    </w:p>
    <w:tbl>
      <w:tblPr>
        <w:tblStyle w:val="Tablaconcuadrcula"/>
        <w:tblW w:w="0" w:type="auto"/>
        <w:tblLook w:val="04A0"/>
      </w:tblPr>
      <w:tblGrid>
        <w:gridCol w:w="4773"/>
        <w:gridCol w:w="4774"/>
      </w:tblGrid>
      <w:tr w:rsidR="003C367B" w:rsidRPr="001C5AA9" w:rsidTr="003C367B">
        <w:tc>
          <w:tcPr>
            <w:tcW w:w="4773" w:type="dxa"/>
          </w:tcPr>
          <w:p w:rsidR="00760C4B" w:rsidRDefault="00760C4B" w:rsidP="00532BC6">
            <w:pPr>
              <w:jc w:val="center"/>
              <w:rPr>
                <w:rFonts w:ascii="Arial" w:hAnsi="Arial" w:cs="Arial"/>
                <w:sz w:val="20"/>
                <w:szCs w:val="20"/>
              </w:rPr>
            </w:pPr>
          </w:p>
          <w:p w:rsidR="00760C4B" w:rsidRDefault="00806324" w:rsidP="00532BC6">
            <w:pPr>
              <w:jc w:val="center"/>
              <w:rPr>
                <w:rFonts w:ascii="Arial" w:hAnsi="Arial" w:cs="Arial"/>
                <w:sz w:val="20"/>
                <w:szCs w:val="20"/>
              </w:rPr>
            </w:pPr>
            <w:r w:rsidRPr="00806324">
              <w:rPr>
                <w:rFonts w:ascii="Arial" w:hAnsi="Arial" w:cs="Arial"/>
                <w:sz w:val="20"/>
                <w:szCs w:val="20"/>
              </w:rPr>
              <w:drawing>
                <wp:inline distT="0" distB="0" distL="0" distR="0">
                  <wp:extent cx="1076325" cy="685800"/>
                  <wp:effectExtent l="19050" t="0" r="9525" b="0"/>
                  <wp:docPr id="6" name="Imagen 3"/>
                  <wp:cNvGraphicFramePr/>
                  <a:graphic xmlns:a="http://schemas.openxmlformats.org/drawingml/2006/main">
                    <a:graphicData uri="http://schemas.openxmlformats.org/drawingml/2006/picture">
                      <pic:pic xmlns:pic="http://schemas.openxmlformats.org/drawingml/2006/picture">
                        <pic:nvPicPr>
                          <pic:cNvPr id="17824"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760C4B" w:rsidRPr="001C5AA9" w:rsidRDefault="00760C4B" w:rsidP="00532BC6">
            <w:pPr>
              <w:jc w:val="center"/>
              <w:rPr>
                <w:rFonts w:ascii="Arial" w:hAnsi="Arial" w:cs="Arial"/>
                <w:sz w:val="20"/>
                <w:szCs w:val="20"/>
              </w:rPr>
            </w:pPr>
          </w:p>
        </w:tc>
        <w:tc>
          <w:tcPr>
            <w:tcW w:w="4774" w:type="dxa"/>
          </w:tcPr>
          <w:p w:rsidR="003C367B" w:rsidRPr="001C5AA9" w:rsidRDefault="003C367B" w:rsidP="00532BC6">
            <w:pPr>
              <w:jc w:val="center"/>
              <w:rPr>
                <w:rFonts w:ascii="Arial" w:hAnsi="Arial" w:cs="Arial"/>
                <w:sz w:val="20"/>
                <w:szCs w:val="20"/>
              </w:rPr>
            </w:pP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JHON JAIRO CHICA SALGADO</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bCs/>
                <w:sz w:val="20"/>
                <w:szCs w:val="20"/>
                <w:lang w:val="es-MX"/>
              </w:rPr>
              <w:t>DEISY SEPULVEDA GARCÍA</w:t>
            </w: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PERSONERO MUNICIPAL</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REPRESENTANTE LEGAL KABABI</w:t>
            </w: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CONTRATANTE</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CONTRATISTA</w:t>
            </w:r>
          </w:p>
        </w:tc>
      </w:tr>
    </w:tbl>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rPr>
          <w:rFonts w:ascii="Arial" w:hAnsi="Arial" w:cs="Arial"/>
          <w:i/>
          <w:sz w:val="20"/>
          <w:szCs w:val="20"/>
        </w:rPr>
      </w:pPr>
      <w:r w:rsidRPr="001C5AA9">
        <w:rPr>
          <w:rFonts w:ascii="Arial" w:hAnsi="Arial" w:cs="Arial"/>
          <w:i/>
          <w:sz w:val="20"/>
          <w:szCs w:val="20"/>
        </w:rPr>
        <w:t xml:space="preserve">EL CONTRATO </w:t>
      </w:r>
      <w:r w:rsidR="003C367B" w:rsidRPr="001C5AA9">
        <w:rPr>
          <w:rFonts w:ascii="Arial" w:hAnsi="Arial" w:cs="Arial"/>
          <w:i/>
          <w:sz w:val="20"/>
          <w:szCs w:val="20"/>
        </w:rPr>
        <w:t>PM03</w:t>
      </w:r>
      <w:r w:rsidR="00633F7D" w:rsidRPr="001C5AA9">
        <w:rPr>
          <w:rFonts w:ascii="Arial" w:hAnsi="Arial" w:cs="Arial"/>
          <w:i/>
          <w:sz w:val="20"/>
          <w:szCs w:val="20"/>
        </w:rPr>
        <w:t>-202</w:t>
      </w:r>
      <w:r w:rsidR="003C367B" w:rsidRPr="001C5AA9">
        <w:rPr>
          <w:rFonts w:ascii="Arial" w:hAnsi="Arial" w:cs="Arial"/>
          <w:i/>
          <w:sz w:val="20"/>
          <w:szCs w:val="20"/>
        </w:rPr>
        <w:t>2</w:t>
      </w:r>
      <w:r w:rsidRPr="001C5AA9">
        <w:rPr>
          <w:rFonts w:ascii="Arial" w:hAnsi="Arial" w:cs="Arial"/>
          <w:i/>
          <w:sz w:val="20"/>
          <w:szCs w:val="20"/>
        </w:rPr>
        <w:t xml:space="preserve"> CUENTA CON EL REGISTRO PRESUPUESTAL NÚMERO</w:t>
      </w:r>
      <w:r w:rsidR="00B22778" w:rsidRPr="001C5AA9">
        <w:rPr>
          <w:rFonts w:ascii="Arial" w:hAnsi="Arial" w:cs="Arial"/>
          <w:i/>
          <w:sz w:val="20"/>
          <w:szCs w:val="20"/>
        </w:rPr>
        <w:t xml:space="preserve"> </w:t>
      </w:r>
      <w:r w:rsidR="003C367B" w:rsidRPr="001C5AA9">
        <w:rPr>
          <w:rFonts w:ascii="Arial" w:hAnsi="Arial" w:cs="Arial"/>
          <w:i/>
          <w:sz w:val="20"/>
          <w:szCs w:val="20"/>
        </w:rPr>
        <w:t>____</w:t>
      </w:r>
      <w:r w:rsidRPr="001C5AA9">
        <w:rPr>
          <w:rFonts w:ascii="Arial" w:hAnsi="Arial" w:cs="Arial"/>
          <w:i/>
          <w:sz w:val="20"/>
          <w:szCs w:val="20"/>
        </w:rPr>
        <w:t xml:space="preserve">CON FECHA DEL </w:t>
      </w:r>
      <w:r w:rsidR="003C367B" w:rsidRPr="001C5AA9">
        <w:rPr>
          <w:rFonts w:ascii="Arial" w:hAnsi="Arial" w:cs="Arial"/>
          <w:i/>
          <w:sz w:val="20"/>
          <w:szCs w:val="20"/>
        </w:rPr>
        <w:t>__________________</w:t>
      </w: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r w:rsidRPr="001C5AA9">
        <w:rPr>
          <w:rFonts w:ascii="Arial" w:hAnsi="Arial" w:cs="Arial"/>
          <w:i/>
          <w:sz w:val="20"/>
          <w:szCs w:val="20"/>
        </w:rPr>
        <w:t>Apoyo. María oliva Londoño A. P.U.</w:t>
      </w:r>
    </w:p>
    <w:p w:rsidR="00156BED" w:rsidRPr="001C5AA9" w:rsidRDefault="00156BED" w:rsidP="00156BED">
      <w:pPr>
        <w:jc w:val="both"/>
        <w:rPr>
          <w:rFonts w:ascii="Arial" w:hAnsi="Arial" w:cs="Arial"/>
          <w:i/>
          <w:sz w:val="20"/>
          <w:szCs w:val="20"/>
        </w:rPr>
      </w:pPr>
      <w:r w:rsidRPr="001C5AA9">
        <w:rPr>
          <w:rFonts w:ascii="Arial" w:hAnsi="Arial" w:cs="Arial"/>
          <w:i/>
          <w:sz w:val="20"/>
          <w:szCs w:val="20"/>
        </w:rPr>
        <w:t>Revisó: Lina M. Cano H. S/G</w:t>
      </w:r>
    </w:p>
    <w:p w:rsidR="00156BED" w:rsidRPr="001C5AA9" w:rsidRDefault="003C367B" w:rsidP="00156BED">
      <w:pPr>
        <w:jc w:val="both"/>
        <w:rPr>
          <w:rFonts w:ascii="Arial" w:hAnsi="Arial" w:cs="Arial"/>
          <w:i/>
          <w:sz w:val="20"/>
          <w:szCs w:val="20"/>
        </w:rPr>
      </w:pPr>
      <w:r w:rsidRPr="001C5AA9">
        <w:rPr>
          <w:rFonts w:ascii="Arial" w:hAnsi="Arial" w:cs="Arial"/>
          <w:i/>
          <w:sz w:val="20"/>
          <w:szCs w:val="20"/>
        </w:rPr>
        <w:t>27/01/2022</w:t>
      </w:r>
    </w:p>
    <w:p w:rsidR="00924C75" w:rsidRPr="001C5AA9" w:rsidRDefault="00924C75" w:rsidP="00156BED">
      <w:pPr>
        <w:rPr>
          <w:rFonts w:ascii="Arial" w:hAnsi="Arial" w:cs="Arial"/>
          <w:sz w:val="20"/>
          <w:szCs w:val="20"/>
        </w:rPr>
      </w:pPr>
    </w:p>
    <w:sectPr w:rsidR="00924C75" w:rsidRPr="001C5AA9" w:rsidSect="00441A2C">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7B" w:rsidRDefault="003C367B" w:rsidP="000C4C7E">
      <w:r>
        <w:separator/>
      </w:r>
    </w:p>
  </w:endnote>
  <w:endnote w:type="continuationSeparator" w:id="0">
    <w:p w:rsidR="003C367B" w:rsidRDefault="003C367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3C367B" w:rsidRDefault="003C367B"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7B" w:rsidRDefault="003C367B" w:rsidP="000C4C7E">
      <w:r>
        <w:separator/>
      </w:r>
    </w:p>
  </w:footnote>
  <w:footnote w:type="continuationSeparator" w:id="0">
    <w:p w:rsidR="003C367B" w:rsidRDefault="003C367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C61BAE">
    <w:pPr>
      <w:pStyle w:val="Encabezado"/>
    </w:pPr>
    <w:sdt>
      <w:sdtPr>
        <w:id w:val="10197916"/>
        <w:docPartObj>
          <w:docPartGallery w:val="Page Numbers (Margins)"/>
          <w:docPartUnique/>
        </w:docPartObj>
      </w:sdtPr>
      <w:sdtContent>
        <w:r w:rsidRPr="00C61BAE">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3C367B" w:rsidRDefault="00C61BAE">
                      <w:pPr>
                        <w:pStyle w:val="Encabezado"/>
                        <w:jc w:val="center"/>
                      </w:pPr>
                      <w:r w:rsidRPr="00C61BAE">
                        <w:fldChar w:fldCharType="begin"/>
                      </w:r>
                      <w:r w:rsidR="003C367B">
                        <w:instrText xml:space="preserve"> PAGE    \* MERGEFORMAT </w:instrText>
                      </w:r>
                      <w:r w:rsidRPr="00C61BAE">
                        <w:fldChar w:fldCharType="separate"/>
                      </w:r>
                      <w:r w:rsidR="00806324" w:rsidRPr="00806324">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3C367B" w:rsidRPr="008920BC" w:rsidTr="008920BC">
      <w:trPr>
        <w:trHeight w:val="369"/>
        <w:jc w:val="center"/>
      </w:trPr>
      <w:tc>
        <w:tcPr>
          <w:tcW w:w="2376" w:type="dxa"/>
          <w:vMerge w:val="restart"/>
        </w:tcPr>
        <w:p w:rsidR="003C367B" w:rsidRPr="008920BC" w:rsidRDefault="003C367B">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3C367B" w:rsidRPr="008920BC" w:rsidRDefault="003C367B"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3C367B" w:rsidRPr="008920BC" w:rsidRDefault="003C367B"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3C367B" w:rsidRPr="008920BC" w:rsidTr="008920BC">
      <w:trPr>
        <w:trHeight w:val="392"/>
        <w:jc w:val="center"/>
      </w:trPr>
      <w:tc>
        <w:tcPr>
          <w:tcW w:w="2376" w:type="dxa"/>
          <w:vMerge/>
        </w:tcPr>
        <w:p w:rsidR="003C367B" w:rsidRPr="008920BC" w:rsidRDefault="003C367B">
          <w:pPr>
            <w:pStyle w:val="Encabezado"/>
            <w:rPr>
              <w:rFonts w:ascii="Arial" w:hAnsi="Arial" w:cs="Arial"/>
            </w:rPr>
          </w:pPr>
        </w:p>
      </w:tc>
      <w:tc>
        <w:tcPr>
          <w:tcW w:w="4988" w:type="dxa"/>
          <w:vMerge/>
        </w:tcPr>
        <w:p w:rsidR="003C367B" w:rsidRPr="008920BC" w:rsidRDefault="003C367B">
          <w:pPr>
            <w:pStyle w:val="Encabezado"/>
            <w:rPr>
              <w:rFonts w:ascii="Arial" w:hAnsi="Arial" w:cs="Arial"/>
            </w:rPr>
          </w:pPr>
        </w:p>
      </w:tc>
      <w:tc>
        <w:tcPr>
          <w:tcW w:w="2257" w:type="dxa"/>
          <w:vAlign w:val="center"/>
        </w:tcPr>
        <w:p w:rsidR="003C367B" w:rsidRPr="008920BC" w:rsidRDefault="003C367B"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3C367B" w:rsidRPr="008920BC" w:rsidTr="008920BC">
      <w:trPr>
        <w:trHeight w:val="392"/>
        <w:jc w:val="center"/>
      </w:trPr>
      <w:tc>
        <w:tcPr>
          <w:tcW w:w="2376" w:type="dxa"/>
          <w:vMerge/>
        </w:tcPr>
        <w:p w:rsidR="003C367B" w:rsidRPr="008920BC" w:rsidRDefault="003C367B">
          <w:pPr>
            <w:pStyle w:val="Encabezado"/>
            <w:rPr>
              <w:rFonts w:ascii="Arial" w:hAnsi="Arial" w:cs="Arial"/>
            </w:rPr>
          </w:pPr>
        </w:p>
      </w:tc>
      <w:tc>
        <w:tcPr>
          <w:tcW w:w="4988" w:type="dxa"/>
          <w:vMerge/>
        </w:tcPr>
        <w:p w:rsidR="003C367B" w:rsidRPr="008920BC" w:rsidRDefault="003C367B">
          <w:pPr>
            <w:pStyle w:val="Encabezado"/>
            <w:rPr>
              <w:rFonts w:ascii="Arial" w:hAnsi="Arial" w:cs="Arial"/>
            </w:rPr>
          </w:pPr>
        </w:p>
      </w:tc>
      <w:tc>
        <w:tcPr>
          <w:tcW w:w="2257" w:type="dxa"/>
          <w:vAlign w:val="center"/>
        </w:tcPr>
        <w:p w:rsidR="003C367B" w:rsidRPr="008920BC" w:rsidRDefault="003C367B"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3C367B" w:rsidRDefault="003C367B"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24683"/>
    <w:rsid w:val="00037403"/>
    <w:rsid w:val="000524EB"/>
    <w:rsid w:val="00054419"/>
    <w:rsid w:val="00055830"/>
    <w:rsid w:val="00085E35"/>
    <w:rsid w:val="000977E7"/>
    <w:rsid w:val="00097B3C"/>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56BED"/>
    <w:rsid w:val="001931DB"/>
    <w:rsid w:val="001C5AA9"/>
    <w:rsid w:val="001D0B9C"/>
    <w:rsid w:val="001D4FD3"/>
    <w:rsid w:val="001D71A4"/>
    <w:rsid w:val="001E06C3"/>
    <w:rsid w:val="00201603"/>
    <w:rsid w:val="00203CDD"/>
    <w:rsid w:val="002060D5"/>
    <w:rsid w:val="00206696"/>
    <w:rsid w:val="00214AC3"/>
    <w:rsid w:val="00220458"/>
    <w:rsid w:val="002316FB"/>
    <w:rsid w:val="002573E9"/>
    <w:rsid w:val="002629C2"/>
    <w:rsid w:val="0027021A"/>
    <w:rsid w:val="00282D10"/>
    <w:rsid w:val="00283A7E"/>
    <w:rsid w:val="0028546D"/>
    <w:rsid w:val="00287421"/>
    <w:rsid w:val="002874A1"/>
    <w:rsid w:val="00287C86"/>
    <w:rsid w:val="00291F7B"/>
    <w:rsid w:val="002B3A7C"/>
    <w:rsid w:val="002C0D4A"/>
    <w:rsid w:val="002C7E3D"/>
    <w:rsid w:val="002D21F7"/>
    <w:rsid w:val="002E4523"/>
    <w:rsid w:val="002E4C62"/>
    <w:rsid w:val="002E66A3"/>
    <w:rsid w:val="002F6C4B"/>
    <w:rsid w:val="003023A7"/>
    <w:rsid w:val="003036EF"/>
    <w:rsid w:val="0031066A"/>
    <w:rsid w:val="00320453"/>
    <w:rsid w:val="0032158F"/>
    <w:rsid w:val="00324374"/>
    <w:rsid w:val="00341DDC"/>
    <w:rsid w:val="00364416"/>
    <w:rsid w:val="00372DE6"/>
    <w:rsid w:val="0037430C"/>
    <w:rsid w:val="00377431"/>
    <w:rsid w:val="00396041"/>
    <w:rsid w:val="003A0776"/>
    <w:rsid w:val="003A28DE"/>
    <w:rsid w:val="003A515C"/>
    <w:rsid w:val="003B5A13"/>
    <w:rsid w:val="003B7B39"/>
    <w:rsid w:val="003C367B"/>
    <w:rsid w:val="003C5012"/>
    <w:rsid w:val="003D1667"/>
    <w:rsid w:val="003D1CBD"/>
    <w:rsid w:val="003D24A1"/>
    <w:rsid w:val="003F13A5"/>
    <w:rsid w:val="00401934"/>
    <w:rsid w:val="004025A7"/>
    <w:rsid w:val="0041182D"/>
    <w:rsid w:val="004168E3"/>
    <w:rsid w:val="00425167"/>
    <w:rsid w:val="00441A2C"/>
    <w:rsid w:val="00452C28"/>
    <w:rsid w:val="00455ADF"/>
    <w:rsid w:val="004601C9"/>
    <w:rsid w:val="00473AAF"/>
    <w:rsid w:val="004A4766"/>
    <w:rsid w:val="004C23F6"/>
    <w:rsid w:val="004C2A62"/>
    <w:rsid w:val="004C3E9B"/>
    <w:rsid w:val="004C4A2C"/>
    <w:rsid w:val="004D6CA6"/>
    <w:rsid w:val="004E67E0"/>
    <w:rsid w:val="00502B23"/>
    <w:rsid w:val="00505984"/>
    <w:rsid w:val="005325CC"/>
    <w:rsid w:val="00532BC6"/>
    <w:rsid w:val="005433F0"/>
    <w:rsid w:val="0054451A"/>
    <w:rsid w:val="00547F8A"/>
    <w:rsid w:val="00550C38"/>
    <w:rsid w:val="00561D21"/>
    <w:rsid w:val="005655B0"/>
    <w:rsid w:val="00573FDD"/>
    <w:rsid w:val="00575829"/>
    <w:rsid w:val="00577FBF"/>
    <w:rsid w:val="00590EB0"/>
    <w:rsid w:val="005A18D8"/>
    <w:rsid w:val="005E186C"/>
    <w:rsid w:val="005E778C"/>
    <w:rsid w:val="005F19E0"/>
    <w:rsid w:val="005F1A5E"/>
    <w:rsid w:val="00606D85"/>
    <w:rsid w:val="0060702F"/>
    <w:rsid w:val="00624B67"/>
    <w:rsid w:val="00633CC3"/>
    <w:rsid w:val="00633F7D"/>
    <w:rsid w:val="00635C14"/>
    <w:rsid w:val="006369B0"/>
    <w:rsid w:val="006616BB"/>
    <w:rsid w:val="00662F0D"/>
    <w:rsid w:val="006676B8"/>
    <w:rsid w:val="00677DF7"/>
    <w:rsid w:val="00684CDD"/>
    <w:rsid w:val="00694B00"/>
    <w:rsid w:val="006961BB"/>
    <w:rsid w:val="006A35FE"/>
    <w:rsid w:val="006B6930"/>
    <w:rsid w:val="006C42E3"/>
    <w:rsid w:val="006C49CC"/>
    <w:rsid w:val="006C644A"/>
    <w:rsid w:val="00703755"/>
    <w:rsid w:val="0070439C"/>
    <w:rsid w:val="007043A2"/>
    <w:rsid w:val="00705D7D"/>
    <w:rsid w:val="0070726C"/>
    <w:rsid w:val="00710214"/>
    <w:rsid w:val="00713E10"/>
    <w:rsid w:val="00726AA8"/>
    <w:rsid w:val="00726D68"/>
    <w:rsid w:val="0073188D"/>
    <w:rsid w:val="0074344B"/>
    <w:rsid w:val="00744F87"/>
    <w:rsid w:val="0075010F"/>
    <w:rsid w:val="007525DF"/>
    <w:rsid w:val="00752713"/>
    <w:rsid w:val="00757285"/>
    <w:rsid w:val="00760C4B"/>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06324"/>
    <w:rsid w:val="00821894"/>
    <w:rsid w:val="00822286"/>
    <w:rsid w:val="00823A8F"/>
    <w:rsid w:val="0083494D"/>
    <w:rsid w:val="008365F9"/>
    <w:rsid w:val="00837EED"/>
    <w:rsid w:val="008559F0"/>
    <w:rsid w:val="0086165F"/>
    <w:rsid w:val="00861FB8"/>
    <w:rsid w:val="00864090"/>
    <w:rsid w:val="008733EA"/>
    <w:rsid w:val="008735DE"/>
    <w:rsid w:val="00873921"/>
    <w:rsid w:val="008920BC"/>
    <w:rsid w:val="00897884"/>
    <w:rsid w:val="008A0378"/>
    <w:rsid w:val="008A4BDF"/>
    <w:rsid w:val="008C6ED4"/>
    <w:rsid w:val="008E239E"/>
    <w:rsid w:val="008E2E4A"/>
    <w:rsid w:val="008E6DF7"/>
    <w:rsid w:val="008F1E69"/>
    <w:rsid w:val="00911F36"/>
    <w:rsid w:val="009172D7"/>
    <w:rsid w:val="00920F62"/>
    <w:rsid w:val="0092113D"/>
    <w:rsid w:val="00922AA4"/>
    <w:rsid w:val="00924C75"/>
    <w:rsid w:val="00940010"/>
    <w:rsid w:val="00944D6A"/>
    <w:rsid w:val="00954EA9"/>
    <w:rsid w:val="00957962"/>
    <w:rsid w:val="009610D1"/>
    <w:rsid w:val="00980793"/>
    <w:rsid w:val="0099535D"/>
    <w:rsid w:val="00995A21"/>
    <w:rsid w:val="009A4B4E"/>
    <w:rsid w:val="009B4B3F"/>
    <w:rsid w:val="009C31BE"/>
    <w:rsid w:val="009C5C96"/>
    <w:rsid w:val="009D694E"/>
    <w:rsid w:val="00A0353E"/>
    <w:rsid w:val="00A10C9B"/>
    <w:rsid w:val="00A33DAF"/>
    <w:rsid w:val="00A46A15"/>
    <w:rsid w:val="00A57C84"/>
    <w:rsid w:val="00A646BE"/>
    <w:rsid w:val="00A74C04"/>
    <w:rsid w:val="00A76EC6"/>
    <w:rsid w:val="00A9438A"/>
    <w:rsid w:val="00AB2E32"/>
    <w:rsid w:val="00AB7A85"/>
    <w:rsid w:val="00AC0308"/>
    <w:rsid w:val="00AC2426"/>
    <w:rsid w:val="00AC6708"/>
    <w:rsid w:val="00AC7ABE"/>
    <w:rsid w:val="00AD1FC5"/>
    <w:rsid w:val="00AF34EF"/>
    <w:rsid w:val="00B10808"/>
    <w:rsid w:val="00B1456B"/>
    <w:rsid w:val="00B22778"/>
    <w:rsid w:val="00B2473A"/>
    <w:rsid w:val="00B27323"/>
    <w:rsid w:val="00B27D04"/>
    <w:rsid w:val="00B33BA1"/>
    <w:rsid w:val="00B528B6"/>
    <w:rsid w:val="00B614D3"/>
    <w:rsid w:val="00B72883"/>
    <w:rsid w:val="00B751EB"/>
    <w:rsid w:val="00B75FC3"/>
    <w:rsid w:val="00B83AB2"/>
    <w:rsid w:val="00B91FB5"/>
    <w:rsid w:val="00B92D3B"/>
    <w:rsid w:val="00B95EE3"/>
    <w:rsid w:val="00BA7A1C"/>
    <w:rsid w:val="00BB0C7E"/>
    <w:rsid w:val="00BC5723"/>
    <w:rsid w:val="00BC6450"/>
    <w:rsid w:val="00BC7F6F"/>
    <w:rsid w:val="00BD25E7"/>
    <w:rsid w:val="00BD59EB"/>
    <w:rsid w:val="00BE1E5B"/>
    <w:rsid w:val="00C24BCB"/>
    <w:rsid w:val="00C27F0E"/>
    <w:rsid w:val="00C40FFA"/>
    <w:rsid w:val="00C445A7"/>
    <w:rsid w:val="00C57884"/>
    <w:rsid w:val="00C60632"/>
    <w:rsid w:val="00C61BAE"/>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D01EDF"/>
    <w:rsid w:val="00D20052"/>
    <w:rsid w:val="00D22664"/>
    <w:rsid w:val="00D24CED"/>
    <w:rsid w:val="00D263C0"/>
    <w:rsid w:val="00D35D5C"/>
    <w:rsid w:val="00D40143"/>
    <w:rsid w:val="00D46CD5"/>
    <w:rsid w:val="00D50D8A"/>
    <w:rsid w:val="00D5277B"/>
    <w:rsid w:val="00D5560E"/>
    <w:rsid w:val="00D60F30"/>
    <w:rsid w:val="00D74A27"/>
    <w:rsid w:val="00D76AB6"/>
    <w:rsid w:val="00D9217A"/>
    <w:rsid w:val="00D9373C"/>
    <w:rsid w:val="00D970D2"/>
    <w:rsid w:val="00DA56DD"/>
    <w:rsid w:val="00DC1A75"/>
    <w:rsid w:val="00DC7B09"/>
    <w:rsid w:val="00DD66D7"/>
    <w:rsid w:val="00DE106B"/>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6846"/>
    <w:rsid w:val="00EC703F"/>
    <w:rsid w:val="00EC7E44"/>
    <w:rsid w:val="00ED28EB"/>
    <w:rsid w:val="00EE280A"/>
    <w:rsid w:val="00EE7562"/>
    <w:rsid w:val="00EF00A1"/>
    <w:rsid w:val="00EF593F"/>
    <w:rsid w:val="00EF59BC"/>
    <w:rsid w:val="00F002F0"/>
    <w:rsid w:val="00F0226A"/>
    <w:rsid w:val="00F11D6B"/>
    <w:rsid w:val="00F135F2"/>
    <w:rsid w:val="00F15B52"/>
    <w:rsid w:val="00F44590"/>
    <w:rsid w:val="00F52B2C"/>
    <w:rsid w:val="00F619A4"/>
    <w:rsid w:val="00F66201"/>
    <w:rsid w:val="00F66D9F"/>
    <w:rsid w:val="00F840AB"/>
    <w:rsid w:val="00F84AC7"/>
    <w:rsid w:val="00F907EB"/>
    <w:rsid w:val="00F90A72"/>
    <w:rsid w:val="00F9200F"/>
    <w:rsid w:val="00FA0AF1"/>
    <w:rsid w:val="00FA782D"/>
    <w:rsid w:val="00FA7C46"/>
    <w:rsid w:val="00FB1480"/>
    <w:rsid w:val="00FB4F63"/>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DC1A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Ttulo1Car">
    <w:name w:val="Título 1 Car"/>
    <w:basedOn w:val="Fuentedeprrafopredeter"/>
    <w:link w:val="Ttulo1"/>
    <w:uiPriority w:val="9"/>
    <w:rsid w:val="00DC1A75"/>
    <w:rPr>
      <w:rFonts w:asciiTheme="majorHAnsi" w:eastAsiaTheme="majorEastAsia" w:hAnsiTheme="majorHAnsi" w:cstheme="majorBidi"/>
      <w:color w:val="365F91" w:themeColor="accent1" w:themeShade="BF"/>
      <w:sz w:val="32"/>
      <w:szCs w:val="32"/>
      <w:lang w:val="es-CO" w:eastAsia="es-ES"/>
    </w:rPr>
  </w:style>
  <w:style w:type="table" w:customStyle="1" w:styleId="Tablaconcuadrcula1">
    <w:name w:val="Tabla con cuadrícula1"/>
    <w:basedOn w:val="Tablanormal"/>
    <w:next w:val="Tablaconcuadrcula"/>
    <w:uiPriority w:val="59"/>
    <w:rsid w:val="00DC1A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C1A75"/>
    <w:rPr>
      <w:sz w:val="20"/>
      <w:szCs w:val="20"/>
    </w:rPr>
  </w:style>
  <w:style w:type="character" w:customStyle="1" w:styleId="TextonotapieCar">
    <w:name w:val="Texto nota pie Car"/>
    <w:basedOn w:val="Fuentedeprrafopredeter"/>
    <w:link w:val="Textonotapie"/>
    <w:uiPriority w:val="99"/>
    <w:semiHidden/>
    <w:rsid w:val="00DC1A75"/>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unhideWhenUsed/>
    <w:rsid w:val="00DC1A75"/>
    <w:rPr>
      <w:vertAlign w:val="superscript"/>
    </w:rPr>
  </w:style>
  <w:style w:type="character" w:customStyle="1" w:styleId="Cuerpodeltexto2115ptoNegrita">
    <w:name w:val="Cuerpo del texto (2) + 11;5 pto;Negrita"/>
    <w:basedOn w:val="Fuentedeprrafopredeter"/>
    <w:rsid w:val="00F907EB"/>
    <w:rPr>
      <w:rFonts w:ascii="Arial" w:eastAsia="Arial" w:hAnsi="Arial" w:cs="Arial"/>
      <w:b/>
      <w:bCs/>
      <w:color w:val="000000"/>
      <w:spacing w:val="0"/>
      <w:w w:val="100"/>
      <w:position w:val="0"/>
      <w:sz w:val="23"/>
      <w:szCs w:val="23"/>
      <w:shd w:val="clear" w:color="auto" w:fill="FFFFFF"/>
      <w:lang w:val="es-ES" w:eastAsia="es-ES" w:bidi="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CFE3-2E3F-4DB6-B24A-740DEF95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4504</Words>
  <Characters>24777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4</cp:revision>
  <cp:lastPrinted>2021-05-27T21:35:00Z</cp:lastPrinted>
  <dcterms:created xsi:type="dcterms:W3CDTF">2022-01-28T07:40:00Z</dcterms:created>
  <dcterms:modified xsi:type="dcterms:W3CDTF">2022-01-28T14:11:00Z</dcterms:modified>
</cp:coreProperties>
</file>