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1986"/>
        <w:gridCol w:w="4252"/>
        <w:gridCol w:w="1418"/>
        <w:gridCol w:w="2551"/>
      </w:tblGrid>
      <w:tr w:rsidR="008920BC" w:rsidRPr="007D631E" w:rsidTr="00200B42">
        <w:trPr>
          <w:trHeight w:val="432"/>
        </w:trPr>
        <w:tc>
          <w:tcPr>
            <w:tcW w:w="1986" w:type="dxa"/>
            <w:shd w:val="clear" w:color="auto" w:fill="BFBFBF" w:themeFill="background1" w:themeFillShade="BF"/>
            <w:vAlign w:val="center"/>
          </w:tcPr>
          <w:p w:rsidR="008920BC" w:rsidRPr="007D631E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7D631E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49111B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7D631E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7D631E" w:rsidRDefault="0049111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03/06/2022</w:t>
            </w:r>
          </w:p>
        </w:tc>
      </w:tr>
    </w:tbl>
    <w:tbl>
      <w:tblPr>
        <w:tblW w:w="10217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8204"/>
        <w:gridCol w:w="30"/>
      </w:tblGrid>
      <w:tr w:rsidR="009172D7" w:rsidRPr="007D631E" w:rsidTr="00200B42">
        <w:trPr>
          <w:gridAfter w:val="1"/>
          <w:wAfter w:w="30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vAlign w:val="center"/>
          </w:tcPr>
          <w:p w:rsidR="009172D7" w:rsidRPr="007D631E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7D631E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7D631E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7D631E" w:rsidTr="00200B42">
        <w:trPr>
          <w:gridAfter w:val="1"/>
          <w:wAfter w:w="30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vAlign w:val="center"/>
          </w:tcPr>
          <w:p w:rsidR="009172D7" w:rsidRPr="007D631E" w:rsidRDefault="00422B42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vAlign w:val="center"/>
          </w:tcPr>
          <w:p w:rsidR="009172D7" w:rsidRPr="007D631E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PM0</w:t>
            </w:r>
            <w:r w:rsidR="0008596C" w:rsidRPr="007D631E">
              <w:rPr>
                <w:rFonts w:ascii="Arial" w:hAnsi="Arial" w:cs="Arial"/>
                <w:sz w:val="20"/>
                <w:szCs w:val="20"/>
              </w:rPr>
              <w:t>7</w:t>
            </w:r>
            <w:r w:rsidRPr="007D631E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422B42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7D631E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</w:tcPr>
          <w:p w:rsidR="00422B42" w:rsidRPr="007D631E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LUIS FERNANDO GAVIRIA LOPEZ</w:t>
            </w:r>
          </w:p>
        </w:tc>
      </w:tr>
      <w:tr w:rsidR="00422B42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7D631E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</w:tcPr>
          <w:p w:rsidR="00422B42" w:rsidRPr="007D631E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eastAsia="es-CO"/>
              </w:rPr>
              <w:t>70.515.972-1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vAlign w:val="center"/>
          </w:tcPr>
          <w:p w:rsidR="009172D7" w:rsidRPr="007D631E" w:rsidRDefault="00422B42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MX"/>
              </w:rPr>
              <w:t>CUARENTA Y SIETE MILLONES DOSCIENTOS CINCUENTA MIL PESOS ($47.250.000).</w:t>
            </w:r>
          </w:p>
        </w:tc>
      </w:tr>
      <w:tr w:rsidR="00054419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7D631E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</w:tcPr>
          <w:p w:rsidR="00054419" w:rsidRPr="007D631E" w:rsidRDefault="00422B42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287 del 26/01/2022</w:t>
            </w:r>
          </w:p>
        </w:tc>
      </w:tr>
      <w:tr w:rsidR="00054419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7D631E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</w:tcPr>
          <w:p w:rsidR="00054419" w:rsidRPr="007D631E" w:rsidRDefault="00422B42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770 del 02/02/2022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9172D7" w:rsidRPr="007D631E" w:rsidRDefault="00422B42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02/02/2022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9172D7" w:rsidRPr="007D631E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 xml:space="preserve">El plazo estipulado para este contrato es de trescientos quince (315) días  aproximadamente contados a partir del acta de inicio suscrita entre el contratista y el supervisor designado para el contrato, sin que el plazo exceda el 30 de diciembre de 2022.  </w:t>
            </w:r>
          </w:p>
        </w:tc>
      </w:tr>
      <w:tr w:rsidR="00422B42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7D631E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422B42" w:rsidRPr="007D631E" w:rsidRDefault="00422B42" w:rsidP="00422B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Inicia el 02/02/2022 y finaliza el 16/12/2022</w:t>
            </w:r>
          </w:p>
        </w:tc>
      </w:tr>
      <w:tr w:rsidR="0049111B" w:rsidRPr="007D631E" w:rsidTr="0049111B">
        <w:trPr>
          <w:trHeight w:val="1380"/>
          <w:jc w:val="center"/>
        </w:trPr>
        <w:tc>
          <w:tcPr>
            <w:tcW w:w="198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9111B" w:rsidRPr="007D631E" w:rsidRDefault="0049111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2"/>
            <w:tcBorders>
              <w:top w:val="single" w:sz="6" w:space="0" w:color="auto"/>
            </w:tcBorders>
            <w:vAlign w:val="bottom"/>
          </w:tcPr>
          <w:p w:rsidR="0049111B" w:rsidRPr="00361393" w:rsidRDefault="0049111B" w:rsidP="004911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PM07-2022 por el período comprendido entre el 02/0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/2022 al 01/0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/2022.</w:t>
            </w:r>
          </w:p>
        </w:tc>
      </w:tr>
      <w:tr w:rsidR="0049111B" w:rsidRPr="007D631E" w:rsidTr="0049111B">
        <w:trPr>
          <w:trHeight w:val="397"/>
          <w:jc w:val="center"/>
        </w:trPr>
        <w:tc>
          <w:tcPr>
            <w:tcW w:w="102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08"/>
              <w:gridCol w:w="6848"/>
            </w:tblGrid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ACTIVIDADES DESCRITAS EN EL CONTRATO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DESCRIPCION U OBSERVACIONES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PLANEACIÓN ESTRATÉGICA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 Apoyar y asesorar a la Alta Dirección en todo lo relacionado con el contexto estratégico.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 ejecución: Cronograma Plan de trabajo (informe del primer trimestre para el 4 de mayo de 2022.Revisión Contexto Estratégico de la entidad Primer trimestre 2022.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Plan de trabajo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Acción: Revisar Contexto Estratégico para el segundo semestre de acuerdo a su seguimiento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 Apoyar a la Alta Dirección en el Seguimiento y Desarrollo del PEI.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0%. Nota: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realizará de acuerdo al PEI, semestralmente mediante formato FPI-14. Pendiente por ejecución.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 Asesorar y acompañar a la Alta Dirección en la construcción y desarrollo de los planes de acción.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realizó acompañamiento y apoyo a la Alta Dirección en el seguimiento a los planes de acción, vigencia 2022,de las diferentes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Seguimiento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Planes de acción archivo excel_2022. Carpeta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Pc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Responsable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 Apoyar en la formalización y socialización del PEI.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apoyó en la formalización y socialización del Plan Estratégico Institucional, con las diferentes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para la consolidación del informe a rendir ante el concejo municipal de Itagüí.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Informes del Plan de acción de las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recibidos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5. Asesorar y apoyar el proceso de elaboración de informes y seguimiento a los diferentes planes institucionales (plan estratégico, planes de acción y plan anticorrupción entre otros).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asesoró y se apoyó en la revisión en la elaboración de informes y seguimiento a los planes de acción con corte al 15 de mayo.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Informes Planes de acción con corte al 15 de mayo.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 Apoyar y elaborar el seguimiento a los procesos de planeación y comunicaciones.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apoyó y se elaboraron los seguimientos a los procesos de planeación, tales como: Planeación Institucional, Gestión de las Comunicaciones y Tecnologías de la información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 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Seguimientos de Planeación Institucional y Gestión de las comunicaciones a los indicadores son trimestrales. Para el seguimiento a los riesgos de Planeación Institucional y G. de las Comunicaciones se realizaron los riesgos periódicos. Evidencia Matriz de riesgos, enviados a la auxiliar Diana Mejía Toro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 Apoyar y acompañar la difusión periódica y permanente de los temas estratégicos de la planeación institucional de manera transversal a los demás procesos y MIPG.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apoyó y se acompañó para hacer la difusión periódica de la Política de Gobierno Digital a través de la solicitud que se hizo a la oficina de comunicaciones el día 03 de mayo de la presente anualidad, mediante formato FGC-04 del Sistema de Gestión de Calidad y se remitieron archivos en PDF sobre la evaluación de desempeño del personal de carrera.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30%.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7.1.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Solicitud formato del SG.C. FGC-04 y correo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noProof/>
                      <w:sz w:val="20"/>
                      <w:szCs w:val="20"/>
                      <w:lang w:val="es-ES"/>
                    </w:rPr>
                    <w:drawing>
                      <wp:inline distT="0" distB="0" distL="0" distR="0">
                        <wp:extent cx="4211320" cy="2367915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1320" cy="2367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Acompañar al Personero a los Comités Institucionales.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realizó acompañamiento en Comité Institucional de Gestión y Desempeño, el cual se realizó en la casa de convenciones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Ditaires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el día 20 de abril. Acta de Comité. Durante el mes de Mayo no se realizaron acompañamientos al Personero en Comités Institucionales.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9. Asesorar y acompañar a la Alta Dirección  en temas de auditorías tanto internas como externas desde el área de planeación.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Por ejecutar, ya que las auditorias se realizaran en el mes de julio de acuerdo a la programación.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Evidencia:1.1.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Cronograma Plan de trabajo (Actividad programadas para el 26 y 27 de mayo). Durante el mes de mayo no se realizaron acompañamientos en temas de auditorías internas o externas. Estas se realizaran durante el mes de junio, ya que se realizaran las auditorías internas de calidad el próximo mes de julio de acuerdo al cronograma.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10. Apoyar la construcción del plan estratégico de tecnologías de la Información desde el área de planeación y análisis institucional.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realizó comité primario de tecnologías de la información con los profesionales Lucas y el Ingeniero de sistemas, además del personal de la oficina de comunicaciones y la auxiliar Diana para definir detalles en la página web de la entidad.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 20%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 Acta de Comité.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 se realizó ningún avance en la construcción del PETI durante el mes de mayo.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GESTIÓN DE CALIDAD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 Acompañar a la Alta Dirección en las etapas de pre auditoría, durante y después de la auditoría de calidad, realizadas por el ente certificador.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viene realizando acompañamiento al Sistema de Gestión, a través de la revisión y seguimientos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 los procesos de calidad de las diferentes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en cuanto a las fuentes de mejoramiento tales como: Revisión al Plan de Mejoramiento, indicadores, riesgos. el cual se llevó a cabo con la Secretaría General (Gestión Documental),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Derechos Colectivos y Gestión de las Comunicaciones en la revisión de la información documentada para actualizar 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Evidencias: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11.1.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Acta de seguimientos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Evidencia. Revisar Plan  de mejoramiento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Apoyar en la planeación, programación y ejecución de las auditorías internas de calidad.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Durante el mes de mayo no se realizaron acompañamientos en temas de auditorías internas o externas. Estas se realizaran durante el mes de junio, ya que se realizaran las auditorías internas de calidad el próximo mes de julio de acuerdo al cronograma.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Avance: 25%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13. Mantener y mejorar el estado actual del Sistema actual de gestión de calidad, teniendo en cuenta las observaciones realizadas por el ente certificador.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revisó el Plan de Mejoramiento de la entidad, en donde se evidenciaron las acciones de mejora que se dejaron en cada una de las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por el ente certificador ICONTEC, las cuales se pondrán en consideración en la reunión de comité institucional de gestión y desempeño que se realizara durante el mes de junio, para que se realice la correspondiente gestión y se pueda evidenciar su eficacia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40%.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 de mejoramiento.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14. Revisar y sostener  los métodos de estandarización y documentación para que se cumplan los requisitos del modelo exigidos en las normas NTCGP 1100, ISO 9001-2015.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Avance: 30%.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 se realizó durante este mes la revisión a la documentación de los requisitos contemplado en las normas ISO 9001-2015, ya que se podrá evidenciar en los hallazgos que se identifiquen en las auditorías a realizar durante el mes de julio.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Cronograma de actividades y correo institucional.</w:t>
                  </w:r>
                  <w:r w:rsidRPr="0049111B">
                    <w:rPr>
                      <w:noProof/>
                      <w:sz w:val="20"/>
                      <w:szCs w:val="20"/>
                      <w:lang w:val="es-ES"/>
                    </w:rPr>
                    <w:drawing>
                      <wp:inline distT="0" distB="0" distL="0" distR="0">
                        <wp:extent cx="4211320" cy="2367915"/>
                        <wp:effectExtent l="0" t="0" r="0" b="0"/>
                        <wp:docPr id="3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1320" cy="2367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15. Acompañamiento en la elaboración, revisión y desarrollo de indicadores de gestión  para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realizó el seguimiento y acompañamiento a los indicadores de gestión durante el mes de abril.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Evidencias: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Seguimiento indicadores del periodo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16. Realizar seguimiento, revisión y ajuste del Mapa de Riesgos por procesos.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realizó seguimiento a la matriz de riesgos y de esta manera poder sacar el indicador de Planeación Institucional. Evidencia: Archivo Excel de riesgos, PC del responsable.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30%.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Evidencias: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Mapa de riesgos relacionado mediante correo institucional a Diana.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17. Acompañar a los líderes de los procesos en los diferentes seguimientos e informes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realizó acompañamiento a los líderes de los procesos en los que se apoya tales como Planeación, Atención al ciudadano, Gestión de las Comunicaciones y Tecnologías de la información con los seguimientos respectivos de calidad de acuerdo a su periodicidad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30%.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Acta de seguimientos a las fuentes de mejoramiento del periodo.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18. Acompañar en la actividad de inducción y </w:t>
                  </w:r>
                  <w:proofErr w:type="spellStart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reinducción</w:t>
                  </w:r>
                  <w:proofErr w:type="spell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 en temas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Avance: 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Pendiente. Se elaboró plan de trabajo para realizar temas de inducción los días 16, 17 y 18 de Mayo de 2022.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1.1.Plan de trabajo. Pendiente de realizar actividad.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19. Apoyar en la satisfacción y medición del cliente interno y externo y presentar análisis para el tratamiento del Comité Directivo.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realizó la tabulación de las encuestas de satisfacción para el mes de MAYO de 2022. Archivo Excel.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Avance: 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Archivo tabulación de encuestas del mes de mayo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20. Elaborar y apoyar los informes de Auditoría del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Avance: 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elaboró plan de trabajo para realizar temas de inducción los días 26, y 27 de Mayo de 2022. Evidencia: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1.1.Plan de trabajo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Pendiente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21. Asesorar la revisión por la dirección de las auditorías de calidad.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Avance: 0%.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Pendiente. Sin realizar actividad.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22. Realizar seguimiento a las acciones correctivas y preventivas y aplicar correctivos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realizó seguimiento al mes de abril al plan de mejoramiento con el fin de relacionar las acciones correctivas y evaluar el estado actual de las mismas.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Avance: 20%. 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TECNOLOGIAS DE LA INFORMACIÓN: 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23.Asesorar y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acompañar a la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personería municipal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de Itagüí en la política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de gobierno digital para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la vigencia 2022,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Según la normatividad vigente.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realizara esta actividad de acuerdo al plan de trabajo elaborado para avanzar los días 4, 6 y 12 de mayo de 2022.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 1.1.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 de trabajo.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24.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Acompañar y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construir el documento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que dé cumplimiento 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la publicación del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conjunto de datos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Abiertos.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Avances: 10 %.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Se encuentra en revisión y pendiente de subir archivo final de conjunto de datos abiertos. Se realizó cronograma de plan de trabajo para ejecutar los días 4, 6 y 12 de mayo de la vigencia 2022.Evidencia: 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.Plan de trabajo. Sin actividad durante el mes de mayo.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25. Realizar el seguimiento periódico del cumplimiento del componente de publicación de información de Gobierno Digital según la resolución 3564 de 2015 y la ley 1712 de 2014.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encuentra en revisión la página web, con el fin de actualizar información.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encuentra en revisión y pendiente de subir archivo final de conjunto de datos abiertos.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20%.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26. Acompañar a la Alta Dirección en todo lo relacionado con el Gobierno Digital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Avances: 10 %.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encuentra en revisión la página web, con el fin de actualizar información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encuentra en revisión y pendiente de subir archivo final de conjunto de datos abiertos. Se realizó cronograma de plan de trabajo para ejecutar los días 4, 6 y 12 de mayo de la vigencia 2022.</w:t>
                  </w:r>
                </w:p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Evidencia</w:t>
                  </w:r>
                  <w:proofErr w:type="gramStart"/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:1.1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.Plan</w:t>
                  </w:r>
                  <w:proofErr w:type="gram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 de trabajo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27. Definir el Inventario de Activos de Información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Avance: 0%. Se programó cronograma para elaborar actividad el día 10 de mayo de la presente anualidad.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Evidencia</w:t>
                  </w:r>
                  <w:proofErr w:type="gramStart"/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:1.1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.Plan</w:t>
                  </w:r>
                  <w:proofErr w:type="gram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 de trabajo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28. Realizar seguimiento al proceso de Tecnologías de la Información (Informe de gestión, indicadores, riesgos entre otros).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realizó seguimiento al proceso de tecnologías de la información y se envió la información a la auxiliar, sobres riesgos, indicadores y plan de mejoramiento.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Avance: 40%.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Evidencias: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Fuentes de mejoramiento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29. Seguimiento al Diagnóstico sobre el estado de las Tecnologías de la información en la entidad como insumo para la construcción del PETI.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Se realizará seguimiento al insumo construido en el año 2020 como apoyo en la construcción del </w:t>
                  </w:r>
                  <w:proofErr w:type="spellStart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peti</w:t>
                  </w:r>
                  <w:proofErr w:type="spell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Avance: 0%. Evidencia: 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 Plan de trabajo</w:t>
                  </w:r>
                </w:p>
              </w:tc>
            </w:tr>
          </w:tbl>
          <w:p w:rsidR="0049111B" w:rsidRPr="007D631E" w:rsidRDefault="0049111B" w:rsidP="00E1089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43A9A" w:rsidRPr="007D631E" w:rsidRDefault="006902C6" w:rsidP="007D6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  <w:r w:rsidRPr="007D631E">
        <w:rPr>
          <w:rFonts w:ascii="Arial" w:hAnsi="Arial" w:cs="Arial"/>
          <w:sz w:val="28"/>
          <w:szCs w:val="28"/>
        </w:rPr>
        <w:lastRenderedPageBreak/>
        <w:t xml:space="preserve">BALANCE FINANCIERO </w:t>
      </w:r>
    </w:p>
    <w:tbl>
      <w:tblPr>
        <w:tblW w:w="10070" w:type="dxa"/>
        <w:jc w:val="center"/>
        <w:tblInd w:w="-1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2"/>
        <w:gridCol w:w="3119"/>
        <w:gridCol w:w="1559"/>
      </w:tblGrid>
      <w:tr w:rsidR="006902C6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200B4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47.250.000</w:t>
            </w:r>
          </w:p>
        </w:tc>
      </w:tr>
      <w:tr w:rsidR="006902C6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Cuenta de Cobro 01-2022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49111B" w:rsidRDefault="006124B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9111B">
              <w:rPr>
                <w:rFonts w:ascii="Arial" w:hAnsi="Arial" w:cs="Arial"/>
                <w:sz w:val="20"/>
                <w:szCs w:val="20"/>
                <w:lang w:val="es-ES_tradnl"/>
              </w:rPr>
              <w:t>220007473 del 17/03/2022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E1089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7D631E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7D631E" w:rsidRDefault="007D631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Cuenta de Cobro 02-2022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49111B" w:rsidRDefault="007D631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9111B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220009552 del 08/04/2022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7D631E" w:rsidRDefault="007D631E" w:rsidP="004911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49111B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49111B" w:rsidRDefault="0049111B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9111B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220012558 del 12/05/2022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4911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49111B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49111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13</w:t>
            </w: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</w:t>
            </w: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7D63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 Cuenta de Cobro 0</w:t>
            </w:r>
            <w:r w:rsidR="0049111B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7D631E" w:rsidP="0049111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="004911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</w:t>
            </w:r>
            <w:r w:rsidR="006124B4"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4911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  <w:r w:rsidR="006124B4"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49111B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29.250</w:t>
            </w:r>
            <w:r w:rsidR="006124B4"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7D631E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7D631E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7D631E">
        <w:rPr>
          <w:rFonts w:ascii="Arial" w:hAnsi="Arial" w:cs="Arial"/>
          <w:sz w:val="20"/>
          <w:szCs w:val="20"/>
        </w:rPr>
        <w:t>templadas en el contrato</w:t>
      </w:r>
      <w:r w:rsidR="007B71E1" w:rsidRPr="007D631E">
        <w:rPr>
          <w:rFonts w:ascii="Arial" w:hAnsi="Arial" w:cs="Arial"/>
          <w:sz w:val="20"/>
          <w:szCs w:val="20"/>
        </w:rPr>
        <w:t xml:space="preserve"> </w:t>
      </w:r>
      <w:r w:rsidR="00E52B2B" w:rsidRPr="007D631E">
        <w:rPr>
          <w:rFonts w:ascii="Arial" w:hAnsi="Arial" w:cs="Arial"/>
          <w:sz w:val="20"/>
          <w:szCs w:val="20"/>
        </w:rPr>
        <w:t>PM0</w:t>
      </w:r>
      <w:r w:rsidR="008D353F" w:rsidRPr="007D631E">
        <w:rPr>
          <w:rFonts w:ascii="Arial" w:hAnsi="Arial" w:cs="Arial"/>
          <w:sz w:val="20"/>
          <w:szCs w:val="20"/>
        </w:rPr>
        <w:t>7</w:t>
      </w:r>
      <w:r w:rsidR="00E52B2B" w:rsidRPr="007D631E">
        <w:rPr>
          <w:rFonts w:ascii="Arial" w:hAnsi="Arial" w:cs="Arial"/>
          <w:sz w:val="20"/>
          <w:szCs w:val="20"/>
        </w:rPr>
        <w:t xml:space="preserve">-2022 </w:t>
      </w:r>
      <w:r w:rsidRPr="007D631E">
        <w:rPr>
          <w:rFonts w:ascii="Arial" w:hAnsi="Arial" w:cs="Arial"/>
          <w:sz w:val="20"/>
          <w:szCs w:val="20"/>
        </w:rPr>
        <w:t>se autoriza el siguiente pago:</w:t>
      </w:r>
    </w:p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7D631E" w:rsidTr="0049111B">
        <w:trPr>
          <w:trHeight w:val="515"/>
          <w:jc w:val="center"/>
        </w:trPr>
        <w:tc>
          <w:tcPr>
            <w:tcW w:w="2450" w:type="dxa"/>
          </w:tcPr>
          <w:p w:rsidR="009172D7" w:rsidRPr="007D631E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7D631E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7D631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7D631E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7D631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7D631E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7D631E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7D631E" w:rsidTr="008D353F">
        <w:trPr>
          <w:trHeight w:val="616"/>
          <w:jc w:val="center"/>
        </w:trPr>
        <w:tc>
          <w:tcPr>
            <w:tcW w:w="2450" w:type="dxa"/>
          </w:tcPr>
          <w:p w:rsidR="00396041" w:rsidRPr="007D631E" w:rsidRDefault="00E52B2B" w:rsidP="004911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</w:t>
            </w:r>
            <w:r w:rsidR="008D353F"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49111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D353F"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>-2022</w:t>
            </w:r>
            <w:r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7D631E" w:rsidRDefault="008D353F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47.250.000</w:t>
            </w:r>
          </w:p>
        </w:tc>
        <w:tc>
          <w:tcPr>
            <w:tcW w:w="1793" w:type="dxa"/>
          </w:tcPr>
          <w:p w:rsidR="00396041" w:rsidRPr="007D631E" w:rsidRDefault="0049111B" w:rsidP="007D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13.500.000</w:t>
            </w:r>
          </w:p>
        </w:tc>
        <w:tc>
          <w:tcPr>
            <w:tcW w:w="2010" w:type="dxa"/>
          </w:tcPr>
          <w:p w:rsidR="00396041" w:rsidRPr="007D631E" w:rsidRDefault="008D353F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4.500.000</w:t>
            </w:r>
          </w:p>
        </w:tc>
        <w:tc>
          <w:tcPr>
            <w:tcW w:w="1798" w:type="dxa"/>
          </w:tcPr>
          <w:p w:rsidR="00396041" w:rsidRPr="007D631E" w:rsidRDefault="0049111B" w:rsidP="007D6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29.250.000</w:t>
            </w:r>
          </w:p>
        </w:tc>
      </w:tr>
    </w:tbl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7D631E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7D631E">
        <w:rPr>
          <w:rFonts w:ascii="Arial" w:hAnsi="Arial" w:cs="Arial"/>
          <w:sz w:val="20"/>
          <w:szCs w:val="20"/>
        </w:rPr>
        <w:t>de</w:t>
      </w:r>
      <w:r w:rsidR="007B71E1" w:rsidRPr="007D631E">
        <w:rPr>
          <w:rFonts w:ascii="Arial" w:hAnsi="Arial" w:cs="Arial"/>
          <w:sz w:val="20"/>
          <w:szCs w:val="20"/>
        </w:rPr>
        <w:t>:</w:t>
      </w:r>
      <w:r w:rsidR="00E52B2B" w:rsidRPr="007D631E">
        <w:rPr>
          <w:rFonts w:ascii="Arial" w:hAnsi="Arial" w:cs="Arial"/>
          <w:sz w:val="20"/>
          <w:szCs w:val="20"/>
        </w:rPr>
        <w:t xml:space="preserve"> </w:t>
      </w:r>
      <w:r w:rsidR="008D353F" w:rsidRPr="007D631E">
        <w:rPr>
          <w:rFonts w:ascii="Arial" w:hAnsi="Arial" w:cs="Arial"/>
          <w:sz w:val="20"/>
          <w:szCs w:val="20"/>
        </w:rPr>
        <w:t>CUATRO MILLONES QUINIENTOS MIL PESOS ($4.500.000).</w:t>
      </w:r>
    </w:p>
    <w:p w:rsidR="00B27D04" w:rsidRPr="007D631E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7D631E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>Autoriza:</w:t>
      </w:r>
    </w:p>
    <w:p w:rsidR="00822286" w:rsidRPr="007D631E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7D631E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7D631E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7D631E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7D631E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7D631E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7D631E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7D631E" w:rsidRDefault="006902C6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7D631E">
              <w:rPr>
                <w:rFonts w:ascii="Arial" w:hAnsi="Arial" w:cs="Arial"/>
                <w:sz w:val="20"/>
                <w:szCs w:val="20"/>
              </w:rPr>
              <w:t>a</w:t>
            </w:r>
            <w:r w:rsidRPr="007D6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7D631E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7D631E">
              <w:rPr>
                <w:rFonts w:ascii="Arial" w:hAnsi="Arial" w:cs="Arial"/>
                <w:sz w:val="20"/>
                <w:szCs w:val="20"/>
              </w:rPr>
              <w:t>PM0</w:t>
            </w:r>
            <w:r w:rsidR="008D353F" w:rsidRPr="007D631E">
              <w:rPr>
                <w:rFonts w:ascii="Arial" w:hAnsi="Arial" w:cs="Arial"/>
                <w:sz w:val="20"/>
                <w:szCs w:val="20"/>
              </w:rPr>
              <w:t>7</w:t>
            </w:r>
            <w:r w:rsidR="00E52B2B" w:rsidRPr="007D631E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7D631E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7D631E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7D631E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7D631E" w:rsidRDefault="006902C6" w:rsidP="00443A9A">
      <w:pPr>
        <w:rPr>
          <w:rFonts w:ascii="Arial" w:hAnsi="Arial" w:cs="Arial"/>
          <w:i/>
          <w:sz w:val="16"/>
          <w:szCs w:val="16"/>
        </w:rPr>
      </w:pPr>
      <w:r w:rsidRPr="007D631E">
        <w:rPr>
          <w:rFonts w:ascii="Arial" w:hAnsi="Arial" w:cs="Arial"/>
          <w:i/>
          <w:sz w:val="16"/>
          <w:szCs w:val="16"/>
        </w:rPr>
        <w:t>Apoyó:</w:t>
      </w:r>
      <w:r w:rsidR="00E52B2B" w:rsidRPr="007D631E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7D631E" w:rsidRDefault="0049111B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03/06/2022</w:t>
      </w:r>
    </w:p>
    <w:sectPr w:rsidR="00E52B2B" w:rsidRPr="007D631E" w:rsidSect="008D353F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1B" w:rsidRDefault="0049111B" w:rsidP="000C4C7E">
      <w:r>
        <w:separator/>
      </w:r>
    </w:p>
  </w:endnote>
  <w:endnote w:type="continuationSeparator" w:id="0">
    <w:p w:rsidR="0049111B" w:rsidRDefault="0049111B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49111B" w:rsidRPr="00E25F48" w:rsidTr="00532CBA">
      <w:tc>
        <w:tcPr>
          <w:tcW w:w="6036" w:type="dxa"/>
          <w:shd w:val="clear" w:color="auto" w:fill="auto"/>
        </w:tcPr>
        <w:p w:rsidR="0049111B" w:rsidRPr="00E25F48" w:rsidRDefault="0049111B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49111B" w:rsidRPr="00E25F48" w:rsidRDefault="0049111B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111B" w:rsidRDefault="0049111B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1B" w:rsidRDefault="0049111B" w:rsidP="000C4C7E">
      <w:r>
        <w:separator/>
      </w:r>
    </w:p>
  </w:footnote>
  <w:footnote w:type="continuationSeparator" w:id="0">
    <w:p w:rsidR="0049111B" w:rsidRDefault="0049111B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B" w:rsidRDefault="00A4400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9111B" w:rsidRDefault="00A4400F">
                      <w:pPr>
                        <w:pStyle w:val="Encabezado"/>
                        <w:jc w:val="center"/>
                      </w:pPr>
                      <w:r w:rsidRPr="00A4400F">
                        <w:fldChar w:fldCharType="begin"/>
                      </w:r>
                      <w:r w:rsidR="0049111B">
                        <w:instrText xml:space="preserve"> PAGE    \* MERGEFORMAT </w:instrText>
                      </w:r>
                      <w:r w:rsidRPr="00A4400F">
                        <w:fldChar w:fldCharType="separate"/>
                      </w:r>
                      <w:r w:rsidR="006A69C1" w:rsidRPr="006A69C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9111B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49111B" w:rsidRPr="008920BC" w:rsidRDefault="0049111B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49111B" w:rsidRPr="008920BC" w:rsidRDefault="0049111B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49111B" w:rsidRPr="008920BC" w:rsidTr="008920BC">
      <w:trPr>
        <w:trHeight w:val="392"/>
        <w:jc w:val="center"/>
      </w:trPr>
      <w:tc>
        <w:tcPr>
          <w:tcW w:w="2376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9111B" w:rsidRPr="008920BC" w:rsidRDefault="0049111B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49111B" w:rsidRPr="008920BC" w:rsidTr="008920BC">
      <w:trPr>
        <w:trHeight w:val="392"/>
        <w:jc w:val="center"/>
      </w:trPr>
      <w:tc>
        <w:tcPr>
          <w:tcW w:w="2376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9111B" w:rsidRPr="008920BC" w:rsidRDefault="0049111B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49111B" w:rsidRDefault="0049111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1393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9111B"/>
    <w:rsid w:val="00494F2C"/>
    <w:rsid w:val="004A1BB0"/>
    <w:rsid w:val="004A2B3D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124B4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A69C1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D3566"/>
    <w:rsid w:val="007D631E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A5839"/>
    <w:rsid w:val="008C6ED4"/>
    <w:rsid w:val="008D353F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4400F"/>
    <w:rsid w:val="00A57C84"/>
    <w:rsid w:val="00A74C04"/>
    <w:rsid w:val="00A753DD"/>
    <w:rsid w:val="00A87830"/>
    <w:rsid w:val="00A9438A"/>
    <w:rsid w:val="00AC54D0"/>
    <w:rsid w:val="00AC6708"/>
    <w:rsid w:val="00AC7ABE"/>
    <w:rsid w:val="00AD1FC5"/>
    <w:rsid w:val="00B00724"/>
    <w:rsid w:val="00B10808"/>
    <w:rsid w:val="00B1456B"/>
    <w:rsid w:val="00B207B5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188A"/>
    <w:rsid w:val="00DA2AF3"/>
    <w:rsid w:val="00DC7B09"/>
    <w:rsid w:val="00DD2145"/>
    <w:rsid w:val="00DD66D7"/>
    <w:rsid w:val="00DE23BF"/>
    <w:rsid w:val="00DE632D"/>
    <w:rsid w:val="00E0371F"/>
    <w:rsid w:val="00E071C1"/>
    <w:rsid w:val="00E1089E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F3B7-1E60-435F-BFDF-4C3F6554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2103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2022-06-08T15:09:00Z</dcterms:created>
  <dcterms:modified xsi:type="dcterms:W3CDTF">2022-06-08T15:09:00Z</dcterms:modified>
</cp:coreProperties>
</file>