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29" w:type="dxa"/>
        <w:tblInd w:w="-34" w:type="dxa"/>
        <w:tblLook w:val="04A0"/>
      </w:tblPr>
      <w:tblGrid>
        <w:gridCol w:w="10242"/>
      </w:tblGrid>
      <w:tr w:rsidR="00D23727" w:rsidRPr="002967C3" w:rsidTr="00E334C6">
        <w:tc>
          <w:tcPr>
            <w:tcW w:w="10129" w:type="dxa"/>
          </w:tcPr>
          <w:p w:rsidR="00D23727" w:rsidRPr="002967C3" w:rsidRDefault="00D23727" w:rsidP="005915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FECHA:  </w:t>
            </w:r>
            <w:r w:rsidR="00C2126B">
              <w:rPr>
                <w:rFonts w:ascii="Arial" w:hAnsi="Arial" w:cs="Arial"/>
                <w:sz w:val="20"/>
                <w:szCs w:val="20"/>
              </w:rPr>
              <w:t>06/04/2022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>DIRIGIDO A: LINA MARCELA CANO HOYOS</w:t>
            </w:r>
            <w:r w:rsidRPr="002967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identificada con la cédula de ciudadanía número </w:t>
            </w:r>
            <w:r w:rsidRPr="002967C3">
              <w:rPr>
                <w:rFonts w:ascii="Arial" w:hAnsi="Arial" w:cs="Arial"/>
                <w:color w:val="000000"/>
                <w:sz w:val="20"/>
                <w:szCs w:val="20"/>
              </w:rPr>
              <w:t>1.037.578.184.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La Personería Municipal </w:t>
            </w:r>
            <w:r w:rsidR="00C2126B">
              <w:rPr>
                <w:rFonts w:ascii="Arial" w:hAnsi="Arial" w:cs="Arial"/>
                <w:sz w:val="20"/>
                <w:szCs w:val="20"/>
              </w:rPr>
              <w:t xml:space="preserve">realizó a través de la Tienda Virtual del Estado Colombiano la adquisición de dos </w:t>
            </w:r>
            <w:proofErr w:type="spellStart"/>
            <w:r w:rsidR="00C2126B">
              <w:rPr>
                <w:rFonts w:ascii="Arial" w:hAnsi="Arial" w:cs="Arial"/>
                <w:sz w:val="20"/>
                <w:szCs w:val="20"/>
              </w:rPr>
              <w:t>soat</w:t>
            </w:r>
            <w:proofErr w:type="spellEnd"/>
            <w:r w:rsidR="00C2126B">
              <w:rPr>
                <w:rFonts w:ascii="Arial" w:hAnsi="Arial" w:cs="Arial"/>
                <w:sz w:val="20"/>
                <w:szCs w:val="20"/>
              </w:rPr>
              <w:t xml:space="preserve"> en la fecha 06/04/2022.</w:t>
            </w:r>
          </w:p>
          <w:p w:rsidR="0059156D" w:rsidRDefault="0059156D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016" w:type="dxa"/>
              <w:tblLook w:val="04A0"/>
            </w:tblPr>
            <w:tblGrid>
              <w:gridCol w:w="2431"/>
              <w:gridCol w:w="1957"/>
              <w:gridCol w:w="749"/>
              <w:gridCol w:w="935"/>
              <w:gridCol w:w="1117"/>
              <w:gridCol w:w="1042"/>
              <w:gridCol w:w="638"/>
              <w:gridCol w:w="1147"/>
            </w:tblGrid>
            <w:tr w:rsidR="009300A3" w:rsidRPr="00E52B3A" w:rsidTr="00BB4621"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C2126B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ADQUISICIÓN DE BIENES Y SERVICIOS</w:t>
                  </w:r>
                </w:p>
              </w:tc>
            </w:tr>
            <w:tr w:rsidR="009300A3" w:rsidRPr="00E52B3A" w:rsidTr="00BB4621"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C2126B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ORDEN DE COMPRA 87984</w:t>
                  </w:r>
                </w:p>
              </w:tc>
            </w:tr>
            <w:tr w:rsidR="009300A3" w:rsidRPr="00E52B3A" w:rsidTr="00BB4621"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9300A3" w:rsidRPr="00E52B3A" w:rsidTr="00BB4621">
              <w:trPr>
                <w:trHeight w:val="227"/>
              </w:trPr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C2126B" w:rsidP="00C2126B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-BoldMT" w:eastAsiaTheme="minorHAnsi" w:hAnsi="Arial-BoldMT" w:cs="Arial-BoldMT"/>
                      <w:b/>
                      <w:bCs/>
                      <w:sz w:val="22"/>
                      <w:szCs w:val="22"/>
                      <w:lang w:val="es-ES" w:eastAsia="en-US"/>
                    </w:rPr>
                    <w:t>COMPAÑÍA MUNDIAL DE SEGUROS</w:t>
                  </w:r>
                </w:p>
              </w:tc>
            </w:tr>
            <w:tr w:rsidR="009300A3" w:rsidRPr="00E52B3A" w:rsidTr="00BB4621"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C2126B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MT" w:eastAsiaTheme="minorHAnsi" w:hAnsi="ArialMT" w:cs="ArialMT"/>
                      <w:sz w:val="20"/>
                      <w:szCs w:val="20"/>
                      <w:lang w:val="es-ES" w:eastAsia="en-US"/>
                    </w:rPr>
                    <w:t>860037013</w:t>
                  </w:r>
                </w:p>
              </w:tc>
            </w:tr>
            <w:tr w:rsidR="009300A3" w:rsidRPr="00E52B3A" w:rsidTr="00BB4621"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C2126B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ADQUISICIÓN DE SOAT PARA EL PARQUE AUTOMOTOR DE LA PERSONERÍA DE ITAGUI</w:t>
                  </w:r>
                </w:p>
              </w:tc>
            </w:tr>
            <w:tr w:rsidR="009300A3" w:rsidRPr="00E52B3A" w:rsidTr="00BB4621"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C2126B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 MILLÓN OCHOCIENTOS OCHENTA Y TRES MIL OCHOCIENTOS VEINTICINCO PESOS ($1.883.825).</w:t>
                  </w:r>
                </w:p>
              </w:tc>
            </w:tr>
            <w:tr w:rsidR="009300A3" w:rsidRPr="00E52B3A" w:rsidTr="00BB4621">
              <w:tc>
                <w:tcPr>
                  <w:tcW w:w="4388" w:type="dxa"/>
                  <w:gridSpan w:val="2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5628" w:type="dxa"/>
                  <w:gridSpan w:val="6"/>
                </w:tcPr>
                <w:p w:rsidR="009300A3" w:rsidRPr="00E52B3A" w:rsidRDefault="008F1DF9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Inicia 06/04/2022 hasta el 30/12/2022</w:t>
                  </w:r>
                </w:p>
              </w:tc>
            </w:tr>
            <w:tr w:rsidR="009300A3" w:rsidRPr="00E52B3A" w:rsidTr="00BB4621">
              <w:trPr>
                <w:trHeight w:val="325"/>
              </w:trPr>
              <w:tc>
                <w:tcPr>
                  <w:tcW w:w="10016" w:type="dxa"/>
                  <w:gridSpan w:val="8"/>
                </w:tcPr>
                <w:p w:rsidR="009300A3" w:rsidRPr="00E52B3A" w:rsidRDefault="009300A3" w:rsidP="00C212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BB4621" w:rsidRPr="00E52B3A" w:rsidTr="00BB4621">
              <w:tc>
                <w:tcPr>
                  <w:tcW w:w="2431" w:type="dxa"/>
                </w:tcPr>
                <w:p w:rsidR="009300A3" w:rsidRPr="00E52B3A" w:rsidRDefault="009300A3" w:rsidP="00C2126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2706" w:type="dxa"/>
                  <w:gridSpan w:val="2"/>
                </w:tcPr>
                <w:p w:rsidR="009300A3" w:rsidRPr="00E52B3A" w:rsidRDefault="009300A3" w:rsidP="00C2126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Nombre</w:t>
                  </w:r>
                </w:p>
              </w:tc>
              <w:tc>
                <w:tcPr>
                  <w:tcW w:w="935" w:type="dxa"/>
                </w:tcPr>
                <w:p w:rsidR="009300A3" w:rsidRPr="00E52B3A" w:rsidRDefault="009300A3" w:rsidP="00C2126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9300A3" w:rsidRPr="00E52B3A" w:rsidRDefault="009300A3" w:rsidP="00C2126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Fecha</w:t>
                  </w:r>
                </w:p>
              </w:tc>
              <w:tc>
                <w:tcPr>
                  <w:tcW w:w="1042" w:type="dxa"/>
                </w:tcPr>
                <w:p w:rsidR="009300A3" w:rsidRDefault="009300A3" w:rsidP="00C2126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38" w:type="dxa"/>
                </w:tcPr>
                <w:p w:rsidR="009300A3" w:rsidRPr="009300A3" w:rsidRDefault="009300A3" w:rsidP="009300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RP</w:t>
                  </w:r>
                </w:p>
              </w:tc>
              <w:tc>
                <w:tcPr>
                  <w:tcW w:w="1147" w:type="dxa"/>
                </w:tcPr>
                <w:p w:rsidR="009300A3" w:rsidRPr="009300A3" w:rsidRDefault="009300A3" w:rsidP="009300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</w:t>
                  </w:r>
                </w:p>
              </w:tc>
            </w:tr>
            <w:tr w:rsidR="00BB4621" w:rsidRPr="00E52B3A" w:rsidTr="00BB4621">
              <w:trPr>
                <w:trHeight w:val="885"/>
              </w:trPr>
              <w:tc>
                <w:tcPr>
                  <w:tcW w:w="2431" w:type="dxa"/>
                  <w:vMerge w:val="restart"/>
                  <w:vAlign w:val="bottom"/>
                </w:tcPr>
                <w:p w:rsidR="00BB4621" w:rsidRPr="00980167" w:rsidRDefault="00BB4621" w:rsidP="0000205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0167">
                    <w:rPr>
                      <w:rFonts w:ascii="Arial" w:hAnsi="Arial" w:cs="Arial"/>
                      <w:color w:val="000000"/>
                    </w:rPr>
                    <w:t>16.2.1.2.02.02.007.01-01</w:t>
                  </w:r>
                </w:p>
              </w:tc>
              <w:tc>
                <w:tcPr>
                  <w:tcW w:w="2706" w:type="dxa"/>
                  <w:gridSpan w:val="2"/>
                  <w:vMerge w:val="restart"/>
                  <w:vAlign w:val="bottom"/>
                </w:tcPr>
                <w:p w:rsidR="00BB4621" w:rsidRPr="00980167" w:rsidRDefault="00BB4621" w:rsidP="00002058">
                  <w:pPr>
                    <w:rPr>
                      <w:rFonts w:ascii="Arial" w:hAnsi="Arial" w:cs="Arial"/>
                      <w:color w:val="000000"/>
                    </w:rPr>
                  </w:pPr>
                  <w:r w:rsidRPr="00980167">
                    <w:rPr>
                      <w:rFonts w:ascii="Arial" w:hAnsi="Arial" w:cs="Arial"/>
                      <w:color w:val="000000"/>
                    </w:rPr>
                    <w:t>SERVICIOS FINANCIEROS Y SERVICIOS CONEXOS, SERVICIOS INMOBILIARIOS Y SERVICIOS DE LEASING | SEGUROS</w:t>
                  </w:r>
                </w:p>
              </w:tc>
              <w:tc>
                <w:tcPr>
                  <w:tcW w:w="935" w:type="dxa"/>
                  <w:vMerge w:val="restart"/>
                </w:tcPr>
                <w:p w:rsidR="00BB4621" w:rsidRPr="00E52B3A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608</w:t>
                  </w:r>
                </w:p>
              </w:tc>
              <w:tc>
                <w:tcPr>
                  <w:tcW w:w="1117" w:type="dxa"/>
                  <w:vMerge w:val="restart"/>
                </w:tcPr>
                <w:p w:rsidR="00BB4621" w:rsidRPr="00E52B3A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17/03/2022</w:t>
                  </w:r>
                </w:p>
              </w:tc>
              <w:tc>
                <w:tcPr>
                  <w:tcW w:w="1042" w:type="dxa"/>
                  <w:vMerge w:val="restart"/>
                </w:tcPr>
                <w:p w:rsidR="00BB4621" w:rsidRPr="00E52B3A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2.700.000</w:t>
                  </w:r>
                </w:p>
              </w:tc>
              <w:tc>
                <w:tcPr>
                  <w:tcW w:w="638" w:type="dxa"/>
                  <w:vMerge w:val="restart"/>
                </w:tcPr>
                <w:p w:rsidR="00BB4621" w:rsidRPr="00E52B3A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2474</w:t>
                  </w:r>
                </w:p>
              </w:tc>
              <w:tc>
                <w:tcPr>
                  <w:tcW w:w="1147" w:type="dxa"/>
                </w:tcPr>
                <w:p w:rsidR="00BB4621" w:rsidRPr="00E52B3A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06/04/2022</w:t>
                  </w:r>
                </w:p>
              </w:tc>
            </w:tr>
            <w:tr w:rsidR="00BB4621" w:rsidRPr="00E52B3A" w:rsidTr="00BB4621">
              <w:trPr>
                <w:trHeight w:val="885"/>
              </w:trPr>
              <w:tc>
                <w:tcPr>
                  <w:tcW w:w="2431" w:type="dxa"/>
                  <w:vMerge/>
                  <w:vAlign w:val="bottom"/>
                </w:tcPr>
                <w:p w:rsidR="00BB4621" w:rsidRPr="00980167" w:rsidRDefault="00BB4621" w:rsidP="0000205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706" w:type="dxa"/>
                  <w:gridSpan w:val="2"/>
                  <w:vMerge/>
                  <w:vAlign w:val="bottom"/>
                </w:tcPr>
                <w:p w:rsidR="00BB4621" w:rsidRPr="00980167" w:rsidRDefault="00BB4621" w:rsidP="00002058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935" w:type="dxa"/>
                  <w:vMerge/>
                </w:tcPr>
                <w:p w:rsidR="00BB4621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7" w:type="dxa"/>
                  <w:vMerge/>
                </w:tcPr>
                <w:p w:rsidR="00BB4621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042" w:type="dxa"/>
                  <w:vMerge/>
                </w:tcPr>
                <w:p w:rsidR="00BB4621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638" w:type="dxa"/>
                  <w:vMerge/>
                </w:tcPr>
                <w:p w:rsidR="00BB4621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147" w:type="dxa"/>
                </w:tcPr>
                <w:p w:rsidR="00BB4621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  <w:p w:rsidR="00BB4621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  <w:p w:rsidR="00BB4621" w:rsidRDefault="00BB4621" w:rsidP="00C212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1.883.825</w:t>
                  </w:r>
                </w:p>
              </w:tc>
            </w:tr>
          </w:tbl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Una vez informada sobre los detalles </w:t>
            </w:r>
            <w:r w:rsidR="0064501B">
              <w:rPr>
                <w:rFonts w:ascii="Arial" w:hAnsi="Arial" w:cs="Arial"/>
                <w:sz w:val="20"/>
                <w:szCs w:val="20"/>
              </w:rPr>
              <w:t>de la orden de compra 87984</w:t>
            </w:r>
            <w:r w:rsidRPr="002967C3">
              <w:rPr>
                <w:rFonts w:ascii="Arial" w:hAnsi="Arial" w:cs="Arial"/>
                <w:sz w:val="20"/>
                <w:szCs w:val="20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 xml:space="preserve">FIRMAS: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JHON JAIRO CHICA SALGADO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Personero Municipal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 xml:space="preserve">LINA MARCELA CANO HOYOS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rFonts w:eastAsiaTheme="minorEastAsia"/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>Secretaria General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rFonts w:eastAsiaTheme="minorEastAsia"/>
                <w:sz w:val="20"/>
                <w:szCs w:val="20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Pr="00D23727" w:rsidRDefault="00D23727" w:rsidP="00D23727">
      <w:pPr>
        <w:jc w:val="both"/>
        <w:rPr>
          <w:rFonts w:eastAsiaTheme="minorEastAsia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64501B">
        <w:rPr>
          <w:rFonts w:ascii="Arial" w:hAnsi="Arial" w:cs="Arial"/>
          <w:i/>
          <w:sz w:val="16"/>
          <w:szCs w:val="16"/>
        </w:rPr>
        <w:t>06/04/2022</w:t>
      </w:r>
    </w:p>
    <w:sectPr w:rsidR="00FF02AF" w:rsidRPr="00D23727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DF9" w:rsidRDefault="008F1DF9" w:rsidP="000C4C7E">
      <w:r>
        <w:separator/>
      </w:r>
    </w:p>
  </w:endnote>
  <w:endnote w:type="continuationSeparator" w:id="0">
    <w:p w:rsidR="008F1DF9" w:rsidRDefault="008F1DF9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F9" w:rsidRDefault="008F1DF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F9" w:rsidRDefault="008F1DF9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1DF9" w:rsidRDefault="008F1DF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F9" w:rsidRDefault="008F1DF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DF9" w:rsidRDefault="008F1DF9" w:rsidP="000C4C7E">
      <w:r>
        <w:separator/>
      </w:r>
    </w:p>
  </w:footnote>
  <w:footnote w:type="continuationSeparator" w:id="0">
    <w:p w:rsidR="008F1DF9" w:rsidRDefault="008F1DF9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F9" w:rsidRDefault="008F1DF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F9" w:rsidRDefault="008F1DF9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E80953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8F1DF9" w:rsidRDefault="008F1DF9">
                      <w:pPr>
                        <w:pStyle w:val="Encabezado"/>
                        <w:jc w:val="center"/>
                      </w:pPr>
                      <w:r w:rsidRPr="00E80953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E80953">
                        <w:fldChar w:fldCharType="separate"/>
                      </w:r>
                      <w:r w:rsidR="00BB4621" w:rsidRPr="00BB462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F1DF9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F1DF9" w:rsidRPr="008920BC" w:rsidRDefault="008F1DF9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8F1DF9" w:rsidRPr="008920BC" w:rsidRDefault="008F1DF9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8F1DF9" w:rsidRPr="008920BC" w:rsidRDefault="008F1DF9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8F1DF9" w:rsidRPr="008920BC" w:rsidTr="008920BC">
      <w:trPr>
        <w:trHeight w:val="392"/>
        <w:jc w:val="center"/>
      </w:trPr>
      <w:tc>
        <w:tcPr>
          <w:tcW w:w="2376" w:type="dxa"/>
          <w:vMerge/>
        </w:tcPr>
        <w:p w:rsidR="008F1DF9" w:rsidRPr="008920BC" w:rsidRDefault="008F1DF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F1DF9" w:rsidRPr="008920BC" w:rsidRDefault="008F1DF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F1DF9" w:rsidRPr="008920BC" w:rsidRDefault="008F1DF9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8F1DF9" w:rsidRPr="008920BC" w:rsidTr="008920BC">
      <w:trPr>
        <w:trHeight w:val="392"/>
        <w:jc w:val="center"/>
      </w:trPr>
      <w:tc>
        <w:tcPr>
          <w:tcW w:w="2376" w:type="dxa"/>
          <w:vMerge/>
        </w:tcPr>
        <w:p w:rsidR="008F1DF9" w:rsidRPr="008920BC" w:rsidRDefault="008F1DF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F1DF9" w:rsidRPr="008920BC" w:rsidRDefault="008F1DF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F1DF9" w:rsidRPr="008920BC" w:rsidRDefault="008F1DF9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8F1DF9" w:rsidRDefault="008F1DF9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F9" w:rsidRDefault="008F1D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DA7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4501B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DF9"/>
    <w:rsid w:val="008F1E69"/>
    <w:rsid w:val="008F542B"/>
    <w:rsid w:val="008F5677"/>
    <w:rsid w:val="00915A13"/>
    <w:rsid w:val="009172D7"/>
    <w:rsid w:val="00920F62"/>
    <w:rsid w:val="0092113D"/>
    <w:rsid w:val="00924C75"/>
    <w:rsid w:val="009300A3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B4621"/>
    <w:rsid w:val="00BC5723"/>
    <w:rsid w:val="00BC6450"/>
    <w:rsid w:val="00BC783F"/>
    <w:rsid w:val="00BC7F6F"/>
    <w:rsid w:val="00BD25E7"/>
    <w:rsid w:val="00BD59EB"/>
    <w:rsid w:val="00BE1E5B"/>
    <w:rsid w:val="00C2126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93943"/>
    <w:rsid w:val="00CA1643"/>
    <w:rsid w:val="00CB6E06"/>
    <w:rsid w:val="00CB717F"/>
    <w:rsid w:val="00CC1183"/>
    <w:rsid w:val="00CC1B48"/>
    <w:rsid w:val="00CC459B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2F12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0953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9300A3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6579-62BA-407B-8E82-9C8A5D20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2022-05-04T14:28:00Z</cp:lastPrinted>
  <dcterms:created xsi:type="dcterms:W3CDTF">2022-05-04T14:28:00Z</dcterms:created>
  <dcterms:modified xsi:type="dcterms:W3CDTF">2022-05-04T14:31:00Z</dcterms:modified>
</cp:coreProperties>
</file>