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2641"/>
        <w:gridCol w:w="2900"/>
        <w:gridCol w:w="973"/>
        <w:gridCol w:w="503"/>
        <w:gridCol w:w="1074"/>
        <w:gridCol w:w="1566"/>
      </w:tblGrid>
      <w:tr w:rsidR="002623DF" w:rsidRPr="005D2402" w:rsidTr="00EA1514">
        <w:tc>
          <w:tcPr>
            <w:tcW w:w="7004" w:type="dxa"/>
            <w:gridSpan w:val="4"/>
          </w:tcPr>
          <w:p w:rsidR="002623DF" w:rsidRPr="005D2402" w:rsidRDefault="002623DF" w:rsidP="00D015EE">
            <w:pPr>
              <w:rPr>
                <w:rFonts w:ascii="Arial" w:hAnsi="Arial" w:cs="Arial"/>
                <w:sz w:val="20"/>
                <w:szCs w:val="20"/>
              </w:rPr>
            </w:pPr>
            <w:r w:rsidRPr="005D2402">
              <w:rPr>
                <w:rFonts w:ascii="Arial" w:hAnsi="Arial" w:cs="Arial"/>
                <w:sz w:val="20"/>
                <w:szCs w:val="20"/>
              </w:rPr>
              <w:t xml:space="preserve">FECHA DE ELABORACIÓN: </w:t>
            </w:r>
          </w:p>
        </w:tc>
        <w:tc>
          <w:tcPr>
            <w:tcW w:w="2653" w:type="dxa"/>
            <w:gridSpan w:val="2"/>
          </w:tcPr>
          <w:p w:rsidR="002623DF" w:rsidRPr="005D2402" w:rsidRDefault="00D015EE" w:rsidP="00D269BB">
            <w:pPr>
              <w:rPr>
                <w:rFonts w:ascii="Arial" w:hAnsi="Arial" w:cs="Arial"/>
                <w:sz w:val="20"/>
                <w:szCs w:val="20"/>
              </w:rPr>
            </w:pPr>
            <w:r w:rsidRPr="005D2402">
              <w:rPr>
                <w:rFonts w:ascii="Arial" w:hAnsi="Arial" w:cs="Arial"/>
                <w:sz w:val="20"/>
                <w:szCs w:val="20"/>
              </w:rPr>
              <w:t>1</w:t>
            </w:r>
            <w:r w:rsidR="00D269BB" w:rsidRPr="005D2402">
              <w:rPr>
                <w:rFonts w:ascii="Arial" w:hAnsi="Arial" w:cs="Arial"/>
                <w:sz w:val="20"/>
                <w:szCs w:val="20"/>
              </w:rPr>
              <w:t>7</w:t>
            </w:r>
            <w:r w:rsidRPr="005D2402">
              <w:rPr>
                <w:rFonts w:ascii="Arial" w:hAnsi="Arial" w:cs="Arial"/>
                <w:sz w:val="20"/>
                <w:szCs w:val="20"/>
              </w:rPr>
              <w:t>/03/2022</w:t>
            </w:r>
          </w:p>
        </w:tc>
      </w:tr>
      <w:tr w:rsidR="002623DF" w:rsidRPr="005D2402" w:rsidTr="00D015EE">
        <w:tc>
          <w:tcPr>
            <w:tcW w:w="9657" w:type="dxa"/>
            <w:gridSpan w:val="6"/>
          </w:tcPr>
          <w:p w:rsidR="002623DF" w:rsidRPr="005D2402" w:rsidRDefault="002623DF" w:rsidP="00D015EE">
            <w:pPr>
              <w:jc w:val="center"/>
              <w:rPr>
                <w:rFonts w:ascii="Arial" w:hAnsi="Arial" w:cs="Arial"/>
                <w:color w:val="333333"/>
                <w:sz w:val="20"/>
                <w:szCs w:val="20"/>
              </w:rPr>
            </w:pPr>
            <w:r w:rsidRPr="005D2402">
              <w:rPr>
                <w:rFonts w:ascii="Arial" w:hAnsi="Arial" w:cs="Arial"/>
                <w:sz w:val="20"/>
                <w:szCs w:val="20"/>
                <w:lang w:val="es-MX"/>
              </w:rPr>
              <w:t>AFECTACIÓN PRESUPUESTAL</w:t>
            </w:r>
          </w:p>
        </w:tc>
      </w:tr>
      <w:tr w:rsidR="00D015EE" w:rsidRPr="005D2402" w:rsidTr="00EA1514">
        <w:tc>
          <w:tcPr>
            <w:tcW w:w="2269" w:type="dxa"/>
          </w:tcPr>
          <w:p w:rsidR="00D015EE" w:rsidRPr="005D2402" w:rsidRDefault="00D015EE" w:rsidP="00D015EE">
            <w:pPr>
              <w:jc w:val="center"/>
              <w:rPr>
                <w:rFonts w:ascii="Arial" w:hAnsi="Arial" w:cs="Arial"/>
                <w:sz w:val="20"/>
                <w:szCs w:val="20"/>
                <w:lang w:val="es-MX"/>
              </w:rPr>
            </w:pPr>
            <w:r w:rsidRPr="005D2402">
              <w:rPr>
                <w:rFonts w:ascii="Arial" w:hAnsi="Arial" w:cs="Arial"/>
                <w:sz w:val="20"/>
                <w:szCs w:val="20"/>
                <w:lang w:val="es-MX"/>
              </w:rPr>
              <w:t>Rubro presupuestal</w:t>
            </w:r>
          </w:p>
        </w:tc>
        <w:tc>
          <w:tcPr>
            <w:tcW w:w="3356" w:type="dxa"/>
          </w:tcPr>
          <w:p w:rsidR="00D015EE" w:rsidRPr="005D2402" w:rsidRDefault="00D015EE" w:rsidP="00D015EE">
            <w:pPr>
              <w:jc w:val="center"/>
              <w:rPr>
                <w:rFonts w:ascii="Arial" w:hAnsi="Arial" w:cs="Arial"/>
                <w:sz w:val="20"/>
                <w:szCs w:val="20"/>
                <w:lang w:val="es-MX"/>
              </w:rPr>
            </w:pPr>
            <w:r w:rsidRPr="005D2402">
              <w:rPr>
                <w:rFonts w:ascii="Arial" w:hAnsi="Arial" w:cs="Arial"/>
                <w:sz w:val="20"/>
                <w:szCs w:val="20"/>
                <w:lang w:val="es-MX"/>
              </w:rPr>
              <w:t xml:space="preserve">Nombre </w:t>
            </w:r>
          </w:p>
        </w:tc>
        <w:tc>
          <w:tcPr>
            <w:tcW w:w="944" w:type="dxa"/>
          </w:tcPr>
          <w:p w:rsidR="00D015EE" w:rsidRPr="005D2402" w:rsidRDefault="00D015EE" w:rsidP="00D015EE">
            <w:pPr>
              <w:jc w:val="center"/>
              <w:rPr>
                <w:rFonts w:ascii="Arial" w:hAnsi="Arial" w:cs="Arial"/>
                <w:sz w:val="20"/>
                <w:szCs w:val="20"/>
                <w:lang w:val="es-MX"/>
              </w:rPr>
            </w:pPr>
            <w:r w:rsidRPr="005D2402">
              <w:rPr>
                <w:rFonts w:ascii="Arial" w:hAnsi="Arial" w:cs="Arial"/>
                <w:sz w:val="20"/>
                <w:szCs w:val="20"/>
                <w:lang w:val="es-MX"/>
              </w:rPr>
              <w:t>C.D.P</w:t>
            </w:r>
          </w:p>
        </w:tc>
        <w:tc>
          <w:tcPr>
            <w:tcW w:w="1524" w:type="dxa"/>
            <w:gridSpan w:val="2"/>
          </w:tcPr>
          <w:p w:rsidR="00D015EE" w:rsidRPr="005D2402" w:rsidRDefault="00D015EE" w:rsidP="00D015EE">
            <w:pPr>
              <w:jc w:val="center"/>
              <w:rPr>
                <w:rFonts w:ascii="Arial" w:hAnsi="Arial" w:cs="Arial"/>
                <w:sz w:val="20"/>
                <w:szCs w:val="20"/>
                <w:lang w:val="es-MX"/>
              </w:rPr>
            </w:pPr>
            <w:r w:rsidRPr="005D2402">
              <w:rPr>
                <w:rFonts w:ascii="Arial" w:hAnsi="Arial" w:cs="Arial"/>
                <w:sz w:val="20"/>
                <w:szCs w:val="20"/>
                <w:lang w:val="es-MX"/>
              </w:rPr>
              <w:t xml:space="preserve">Fecha </w:t>
            </w:r>
          </w:p>
        </w:tc>
        <w:tc>
          <w:tcPr>
            <w:tcW w:w="1564" w:type="dxa"/>
          </w:tcPr>
          <w:p w:rsidR="00D015EE" w:rsidRPr="005D2402" w:rsidRDefault="00D015EE" w:rsidP="00D015EE">
            <w:pPr>
              <w:jc w:val="center"/>
              <w:rPr>
                <w:rFonts w:ascii="Arial" w:hAnsi="Arial" w:cs="Arial"/>
                <w:sz w:val="20"/>
                <w:szCs w:val="20"/>
                <w:lang w:val="es-MX"/>
              </w:rPr>
            </w:pPr>
            <w:r w:rsidRPr="005D2402">
              <w:rPr>
                <w:rFonts w:ascii="Arial" w:hAnsi="Arial" w:cs="Arial"/>
                <w:sz w:val="20"/>
                <w:szCs w:val="20"/>
                <w:lang w:val="es-MX"/>
              </w:rPr>
              <w:t>Valor</w:t>
            </w:r>
          </w:p>
        </w:tc>
      </w:tr>
      <w:tr w:rsidR="00D015EE" w:rsidRPr="005D2402" w:rsidTr="00EA1514">
        <w:tc>
          <w:tcPr>
            <w:tcW w:w="2269" w:type="dxa"/>
          </w:tcPr>
          <w:p w:rsidR="00D015EE" w:rsidRPr="005D2402" w:rsidRDefault="00D015EE" w:rsidP="00D015EE">
            <w:pPr>
              <w:jc w:val="center"/>
              <w:rPr>
                <w:rFonts w:ascii="Arial" w:hAnsi="Arial" w:cs="Arial"/>
                <w:sz w:val="20"/>
                <w:szCs w:val="20"/>
                <w:lang w:val="es-MX"/>
              </w:rPr>
            </w:pPr>
            <w:r w:rsidRPr="005D2402">
              <w:rPr>
                <w:rFonts w:ascii="Arial" w:hAnsi="Arial" w:cs="Arial"/>
                <w:color w:val="000000"/>
                <w:sz w:val="20"/>
                <w:szCs w:val="20"/>
              </w:rPr>
              <w:t>16.2.1.2.02.02.007.01-01</w:t>
            </w:r>
          </w:p>
        </w:tc>
        <w:tc>
          <w:tcPr>
            <w:tcW w:w="3356" w:type="dxa"/>
          </w:tcPr>
          <w:p w:rsidR="00D015EE" w:rsidRPr="005D2402" w:rsidRDefault="00D015EE" w:rsidP="00D015EE">
            <w:pPr>
              <w:jc w:val="center"/>
              <w:rPr>
                <w:rFonts w:ascii="Arial" w:hAnsi="Arial" w:cs="Arial"/>
                <w:sz w:val="20"/>
                <w:szCs w:val="20"/>
              </w:rPr>
            </w:pPr>
            <w:r w:rsidRPr="005D2402">
              <w:rPr>
                <w:rFonts w:ascii="Arial" w:hAnsi="Arial" w:cs="Arial"/>
                <w:color w:val="000000"/>
                <w:sz w:val="20"/>
                <w:szCs w:val="20"/>
              </w:rPr>
              <w:t>SERVICIOS FINANCIEROS Y SERVICIOS CONEXOS, SERVICIOS INMOBILIARIOS Y SERVICIOS DE LEASING | SEGUROS</w:t>
            </w:r>
          </w:p>
        </w:tc>
        <w:tc>
          <w:tcPr>
            <w:tcW w:w="944" w:type="dxa"/>
          </w:tcPr>
          <w:p w:rsidR="00D015EE" w:rsidRPr="005D2402" w:rsidRDefault="00D015EE" w:rsidP="00D015EE">
            <w:pPr>
              <w:jc w:val="center"/>
              <w:rPr>
                <w:rFonts w:ascii="Arial" w:hAnsi="Arial" w:cs="Arial"/>
                <w:sz w:val="20"/>
                <w:szCs w:val="20"/>
              </w:rPr>
            </w:pPr>
            <w:r w:rsidRPr="005D2402">
              <w:rPr>
                <w:rFonts w:ascii="Arial" w:hAnsi="Arial" w:cs="Arial"/>
                <w:sz w:val="20"/>
                <w:szCs w:val="20"/>
              </w:rPr>
              <w:t>6087</w:t>
            </w:r>
          </w:p>
        </w:tc>
        <w:tc>
          <w:tcPr>
            <w:tcW w:w="1524" w:type="dxa"/>
            <w:gridSpan w:val="2"/>
          </w:tcPr>
          <w:p w:rsidR="00D015EE" w:rsidRPr="005D2402" w:rsidRDefault="00D015EE" w:rsidP="00D015EE">
            <w:pPr>
              <w:jc w:val="center"/>
              <w:rPr>
                <w:rFonts w:ascii="Arial" w:hAnsi="Arial" w:cs="Arial"/>
                <w:sz w:val="20"/>
                <w:szCs w:val="20"/>
                <w:lang w:val="es-MX"/>
              </w:rPr>
            </w:pPr>
            <w:r w:rsidRPr="005D2402">
              <w:rPr>
                <w:rFonts w:ascii="Arial" w:hAnsi="Arial" w:cs="Arial"/>
                <w:sz w:val="20"/>
                <w:szCs w:val="20"/>
                <w:lang w:val="es-MX"/>
              </w:rPr>
              <w:t>17/03/2022</w:t>
            </w:r>
          </w:p>
        </w:tc>
        <w:tc>
          <w:tcPr>
            <w:tcW w:w="1564" w:type="dxa"/>
          </w:tcPr>
          <w:p w:rsidR="00D015EE" w:rsidRPr="005D2402" w:rsidRDefault="00D015EE" w:rsidP="00D015EE">
            <w:pPr>
              <w:jc w:val="center"/>
              <w:rPr>
                <w:rFonts w:ascii="Arial" w:hAnsi="Arial" w:cs="Arial"/>
                <w:sz w:val="20"/>
                <w:szCs w:val="20"/>
                <w:lang w:val="es-MX"/>
              </w:rPr>
            </w:pPr>
            <w:r w:rsidRPr="005D2402">
              <w:rPr>
                <w:rFonts w:ascii="Arial" w:hAnsi="Arial" w:cs="Arial"/>
                <w:sz w:val="20"/>
                <w:szCs w:val="20"/>
                <w:lang w:val="es-MX"/>
              </w:rPr>
              <w:t>2.700.000</w:t>
            </w:r>
          </w:p>
        </w:tc>
      </w:tr>
      <w:tr w:rsidR="002623DF" w:rsidRPr="005D2402" w:rsidTr="00D015EE">
        <w:tc>
          <w:tcPr>
            <w:tcW w:w="9657" w:type="dxa"/>
            <w:gridSpan w:val="6"/>
          </w:tcPr>
          <w:p w:rsidR="002623DF" w:rsidRPr="005D2402" w:rsidRDefault="002623DF" w:rsidP="00D015EE">
            <w:pPr>
              <w:jc w:val="both"/>
              <w:rPr>
                <w:rFonts w:ascii="Arial" w:hAnsi="Arial" w:cs="Arial"/>
                <w:sz w:val="20"/>
                <w:szCs w:val="20"/>
              </w:rPr>
            </w:pPr>
            <w:r w:rsidRPr="005D2402">
              <w:rPr>
                <w:rFonts w:ascii="Arial" w:hAnsi="Arial" w:cs="Arial"/>
                <w:sz w:val="20"/>
                <w:szCs w:val="20"/>
              </w:rPr>
              <w:t>1.</w:t>
            </w:r>
            <w:r w:rsidRPr="005D2402">
              <w:rPr>
                <w:rFonts w:ascii="Arial" w:hAnsi="Arial" w:cs="Arial"/>
                <w:sz w:val="20"/>
                <w:szCs w:val="20"/>
              </w:rPr>
              <w:tab/>
              <w:t xml:space="preserve">ANTECEDENTES, </w:t>
            </w:r>
            <w:r w:rsidRPr="005D2402">
              <w:rPr>
                <w:rFonts w:ascii="Arial" w:hAnsi="Arial" w:cs="Arial"/>
                <w:sz w:val="20"/>
                <w:szCs w:val="20"/>
                <w:lang w:eastAsia="en-US" w:bidi="en-US"/>
              </w:rPr>
              <w:t xml:space="preserve">CONVENIENCIA, OPORTUNIDAD </w:t>
            </w:r>
            <w:r w:rsidRPr="005D2402">
              <w:rPr>
                <w:rFonts w:ascii="Arial" w:hAnsi="Arial" w:cs="Arial"/>
                <w:sz w:val="20"/>
                <w:szCs w:val="20"/>
              </w:rPr>
              <w:t>Y DEFINICIÓN DE LA NECESIDAD QUE SE ATENDERÁ CON LA PRESENTE CONTRATACIÓN:</w:t>
            </w:r>
          </w:p>
          <w:p w:rsidR="002623DF" w:rsidRPr="005D2402" w:rsidRDefault="002623DF" w:rsidP="00D015EE">
            <w:pPr>
              <w:jc w:val="both"/>
              <w:rPr>
                <w:rFonts w:ascii="Arial" w:hAnsi="Arial" w:cs="Arial"/>
                <w:sz w:val="20"/>
                <w:szCs w:val="20"/>
              </w:rPr>
            </w:pPr>
          </w:p>
          <w:p w:rsidR="001D6C9E" w:rsidRPr="005D2402" w:rsidRDefault="001D6C9E" w:rsidP="001D6C9E">
            <w:pPr>
              <w:jc w:val="both"/>
              <w:rPr>
                <w:rFonts w:ascii="Arial" w:hAnsi="Arial" w:cs="Arial"/>
                <w:sz w:val="20"/>
                <w:szCs w:val="20"/>
              </w:rPr>
            </w:pPr>
          </w:p>
          <w:p w:rsidR="001D6C9E" w:rsidRPr="005D2402" w:rsidRDefault="001D6C9E" w:rsidP="001D6C9E">
            <w:pPr>
              <w:jc w:val="both"/>
              <w:rPr>
                <w:rFonts w:ascii="Arial" w:hAnsi="Arial" w:cs="Arial"/>
                <w:sz w:val="20"/>
                <w:szCs w:val="20"/>
              </w:rPr>
            </w:pPr>
            <w:r w:rsidRPr="005D2402">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5D2402">
              <w:rPr>
                <w:rFonts w:ascii="Arial" w:eastAsia="DejaVu Sans" w:hAnsi="Arial" w:cs="Arial"/>
                <w:spacing w:val="-3"/>
                <w:kern w:val="1"/>
                <w:sz w:val="20"/>
                <w:szCs w:val="20"/>
                <w:lang w:val="es-ES_tradnl" w:eastAsia="zh-CN"/>
              </w:rPr>
              <w:t xml:space="preserve"> la Ley 1150 </w:t>
            </w:r>
            <w:r w:rsidRPr="005D2402">
              <w:rPr>
                <w:rFonts w:ascii="Arial" w:eastAsia="DejaVu Sans" w:hAnsi="Arial" w:cs="Arial"/>
                <w:kern w:val="1"/>
                <w:sz w:val="20"/>
                <w:szCs w:val="20"/>
                <w:lang w:val="es-ES_tradnl" w:eastAsia="zh-CN"/>
              </w:rPr>
              <w:t>y el Decreto 1082 de 2015</w:t>
            </w:r>
            <w:r w:rsidRPr="005D2402">
              <w:rPr>
                <w:rFonts w:ascii="Arial" w:eastAsiaTheme="minorEastAsia" w:hAnsi="Arial" w:cs="Arial"/>
                <w:sz w:val="20"/>
                <w:szCs w:val="20"/>
              </w:rPr>
              <w:t>, la Personería Municipal de Itagüí, se permite realizar el análisis para la conveniencia y oportunidad de la presente contratación</w:t>
            </w:r>
          </w:p>
          <w:p w:rsidR="001D6C9E" w:rsidRPr="005D2402" w:rsidRDefault="001D6C9E" w:rsidP="001D6C9E">
            <w:pPr>
              <w:jc w:val="both"/>
              <w:rPr>
                <w:rFonts w:ascii="Arial" w:hAnsi="Arial" w:cs="Arial"/>
                <w:sz w:val="20"/>
                <w:szCs w:val="20"/>
              </w:rPr>
            </w:pPr>
          </w:p>
          <w:p w:rsidR="001D6C9E" w:rsidRPr="005D2402" w:rsidRDefault="001D6C9E" w:rsidP="001D6C9E">
            <w:pPr>
              <w:pStyle w:val="Default"/>
              <w:jc w:val="both"/>
              <w:rPr>
                <w:sz w:val="20"/>
                <w:szCs w:val="20"/>
              </w:rPr>
            </w:pPr>
            <w:r w:rsidRPr="005D2402">
              <w:rPr>
                <w:sz w:val="20"/>
                <w:szCs w:val="20"/>
              </w:rPr>
              <w:t>El artículo segundo de la Constitución Política de Colombia, establece que son fines esenciales del Estado servir a la comunidad, promover la prosperidad general y garantizar la efectividad de los principios, derechos y deberes consagrados en la Constitución.</w:t>
            </w:r>
          </w:p>
          <w:p w:rsidR="001D6C9E" w:rsidRPr="005D2402" w:rsidRDefault="001D6C9E" w:rsidP="001D6C9E">
            <w:pPr>
              <w:pStyle w:val="Default"/>
              <w:jc w:val="both"/>
              <w:rPr>
                <w:sz w:val="20"/>
                <w:szCs w:val="20"/>
              </w:rPr>
            </w:pPr>
          </w:p>
          <w:p w:rsidR="001D6C9E" w:rsidRPr="005D2402" w:rsidRDefault="001D6C9E" w:rsidP="001D6C9E">
            <w:pPr>
              <w:pStyle w:val="Default"/>
              <w:jc w:val="both"/>
              <w:rPr>
                <w:sz w:val="20"/>
                <w:szCs w:val="20"/>
              </w:rPr>
            </w:pPr>
            <w:r w:rsidRPr="005D2402">
              <w:rPr>
                <w:sz w:val="20"/>
                <w:szCs w:val="20"/>
              </w:rPr>
              <w:t>Para asegurar el cumplimiento de estos fines esenciales, las entidades del Estado poseen bienes que deben ser protegidos para preservar el patrimonio estatal.</w:t>
            </w:r>
          </w:p>
          <w:p w:rsidR="001D6C9E" w:rsidRPr="005D2402" w:rsidRDefault="001D6C9E" w:rsidP="001D6C9E">
            <w:pPr>
              <w:pStyle w:val="Default"/>
              <w:jc w:val="both"/>
              <w:rPr>
                <w:sz w:val="20"/>
                <w:szCs w:val="20"/>
              </w:rPr>
            </w:pPr>
          </w:p>
          <w:p w:rsidR="001D6C9E" w:rsidRPr="005D2402" w:rsidRDefault="001D6C9E" w:rsidP="001D6C9E">
            <w:pPr>
              <w:pStyle w:val="Default"/>
              <w:jc w:val="both"/>
              <w:rPr>
                <w:sz w:val="20"/>
                <w:szCs w:val="20"/>
              </w:rPr>
            </w:pPr>
            <w:r w:rsidRPr="005D2402">
              <w:rPr>
                <w:sz w:val="20"/>
                <w:szCs w:val="20"/>
              </w:rPr>
              <w:t>En Colombia, las entidades estatales tienen dentro de sus obligaciones la de velar por la integridad del patrimonio del Estado representado en los bienes, patrimonio e intereses respecto de los cuales las entidades públicas son titulares o por las cuales deban responder.</w:t>
            </w:r>
          </w:p>
          <w:p w:rsidR="001D6C9E" w:rsidRPr="005D2402" w:rsidRDefault="001D6C9E" w:rsidP="001D6C9E">
            <w:pPr>
              <w:pStyle w:val="Default"/>
              <w:jc w:val="both"/>
              <w:rPr>
                <w:sz w:val="20"/>
                <w:szCs w:val="20"/>
              </w:rPr>
            </w:pPr>
          </w:p>
          <w:p w:rsidR="001D6C9E" w:rsidRPr="005D2402" w:rsidRDefault="001D6C9E" w:rsidP="001D6C9E">
            <w:pPr>
              <w:pStyle w:val="Default"/>
              <w:jc w:val="both"/>
              <w:rPr>
                <w:sz w:val="20"/>
                <w:szCs w:val="20"/>
              </w:rPr>
            </w:pPr>
            <w:r w:rsidRPr="005D2402">
              <w:rPr>
                <w:sz w:val="20"/>
                <w:szCs w:val="20"/>
              </w:rPr>
              <w:t>La Ley 42 de 1993 que regula la organización del sistema de control fiscal financiero y los organismos que lo ejercen, en los artículos 101 y 107 consagra la responsabilidad fiscal que se genera para quienes no cumplan con el deber de amparar debidamente los bienes y/o el patrimonio estatal.</w:t>
            </w:r>
          </w:p>
          <w:p w:rsidR="001D6C9E" w:rsidRPr="005D2402" w:rsidRDefault="001D6C9E" w:rsidP="001D6C9E">
            <w:pPr>
              <w:pStyle w:val="Default"/>
              <w:jc w:val="both"/>
              <w:rPr>
                <w:sz w:val="20"/>
                <w:szCs w:val="20"/>
              </w:rPr>
            </w:pPr>
          </w:p>
          <w:p w:rsidR="001D6C9E" w:rsidRPr="005D2402" w:rsidRDefault="001D6C9E" w:rsidP="001D6C9E">
            <w:pPr>
              <w:pStyle w:val="Default"/>
              <w:jc w:val="both"/>
              <w:rPr>
                <w:sz w:val="20"/>
                <w:szCs w:val="20"/>
              </w:rPr>
            </w:pPr>
            <w:r w:rsidRPr="005D2402">
              <w:rPr>
                <w:sz w:val="20"/>
                <w:szCs w:val="20"/>
              </w:rPr>
              <w:t xml:space="preserve">La Personería de Itagüí posee un parque automotor, el cual, para todos los vehículos debe contar con el Seguro de Daños Corporales Causados a las Personas en Accidentes de Tránsito “SOAT”, para dar cumplimiento con lo dispuesto en el Decreto 2544 del 31 de diciembre de 1987, modificado por el Decreto 392 del 4 de marzo de 1999, que establece que todos los vehículos y motocicletas que transiten por las carreteras nacionales deben obtener y portar el Seguro de Daños Corporales Causados a las Personas en Accidentes de Tránsito “SOAT”. </w:t>
            </w:r>
          </w:p>
          <w:p w:rsidR="001D6C9E" w:rsidRPr="005D2402" w:rsidRDefault="001D6C9E" w:rsidP="001D6C9E">
            <w:pPr>
              <w:pStyle w:val="Default"/>
              <w:jc w:val="both"/>
              <w:rPr>
                <w:sz w:val="20"/>
                <w:szCs w:val="20"/>
              </w:rPr>
            </w:pPr>
          </w:p>
          <w:p w:rsidR="001D6C9E" w:rsidRPr="005D2402" w:rsidRDefault="001D6C9E" w:rsidP="001D6C9E">
            <w:pPr>
              <w:pStyle w:val="Default"/>
              <w:jc w:val="both"/>
              <w:rPr>
                <w:sz w:val="20"/>
                <w:szCs w:val="20"/>
              </w:rPr>
            </w:pPr>
            <w:r w:rsidRPr="005D2402">
              <w:rPr>
                <w:sz w:val="20"/>
                <w:szCs w:val="20"/>
              </w:rPr>
              <w:t xml:space="preserve">Es obligación de las entidades del Estado, trasladar esos riesgos a compañías aseguradoras a través de contratos de seguros, situación que resulta ser la más adecuada para la protección efectiva del patrimonio estatal contra la mayor cantidad de riesgos a los cuales se encuentran expuestos. </w:t>
            </w:r>
          </w:p>
          <w:p w:rsidR="001D6C9E" w:rsidRPr="005D2402" w:rsidRDefault="001D6C9E" w:rsidP="001D6C9E">
            <w:pPr>
              <w:pStyle w:val="Default"/>
              <w:jc w:val="both"/>
              <w:rPr>
                <w:sz w:val="20"/>
                <w:szCs w:val="20"/>
              </w:rPr>
            </w:pPr>
          </w:p>
          <w:p w:rsidR="001D6C9E" w:rsidRPr="005D2402" w:rsidRDefault="001D6C9E" w:rsidP="001D6C9E">
            <w:pPr>
              <w:pStyle w:val="Default"/>
              <w:jc w:val="both"/>
              <w:rPr>
                <w:sz w:val="20"/>
                <w:szCs w:val="20"/>
              </w:rPr>
            </w:pPr>
            <w:r w:rsidRPr="005D2402">
              <w:rPr>
                <w:sz w:val="20"/>
                <w:szCs w:val="20"/>
              </w:rPr>
              <w:t>Por lo anterior, la Personería de Itagüí tiene la obligación de contratar las pólizas de Seguro de Daños Corporales Causados a las Personas en Accidentes de Tránsito “SOAT para los vehículos oficiales pertenecientes a su parque automotor.</w:t>
            </w:r>
          </w:p>
          <w:p w:rsidR="001D6C9E" w:rsidRPr="005D2402" w:rsidRDefault="001D6C9E" w:rsidP="001D6C9E">
            <w:pPr>
              <w:pStyle w:val="Default"/>
              <w:jc w:val="both"/>
              <w:rPr>
                <w:sz w:val="20"/>
                <w:szCs w:val="20"/>
              </w:rPr>
            </w:pPr>
          </w:p>
          <w:p w:rsidR="001D6C9E" w:rsidRPr="005D2402" w:rsidRDefault="001D6C9E" w:rsidP="001D6C9E">
            <w:pPr>
              <w:shd w:val="clear" w:color="auto" w:fill="FFFFFF"/>
              <w:jc w:val="both"/>
              <w:rPr>
                <w:rFonts w:ascii="Arial" w:hAnsi="Arial" w:cs="Arial"/>
                <w:color w:val="222222"/>
                <w:sz w:val="20"/>
                <w:szCs w:val="20"/>
              </w:rPr>
            </w:pPr>
            <w:r w:rsidRPr="005D2402">
              <w:rPr>
                <w:rFonts w:ascii="Arial" w:hAnsi="Arial" w:cs="Arial"/>
                <w:color w:val="333333"/>
                <w:sz w:val="20"/>
                <w:szCs w:val="20"/>
              </w:rPr>
              <w:t>La Superintendencia Financiera de Colombia (SFC) informó que el precio del Seguro Obligatorio de Daños Corporales Causados a las Personas en Accidentes de Tránsito (</w:t>
            </w:r>
            <w:proofErr w:type="spellStart"/>
            <w:r w:rsidRPr="005D2402">
              <w:rPr>
                <w:rFonts w:ascii="Arial" w:hAnsi="Arial" w:cs="Arial"/>
                <w:color w:val="333333"/>
                <w:sz w:val="20"/>
                <w:szCs w:val="20"/>
              </w:rPr>
              <w:t>Soat</w:t>
            </w:r>
            <w:proofErr w:type="spellEnd"/>
            <w:r w:rsidRPr="005D2402">
              <w:rPr>
                <w:rFonts w:ascii="Arial" w:hAnsi="Arial" w:cs="Arial"/>
                <w:color w:val="333333"/>
                <w:sz w:val="20"/>
                <w:szCs w:val="20"/>
              </w:rPr>
              <w:t>) </w:t>
            </w:r>
            <w:r w:rsidRPr="005D2402">
              <w:rPr>
                <w:rFonts w:ascii="Arial" w:hAnsi="Arial" w:cs="Arial"/>
                <w:b/>
                <w:bCs/>
                <w:color w:val="333333"/>
                <w:sz w:val="20"/>
                <w:szCs w:val="20"/>
              </w:rPr>
              <w:t>tendrá un incremento de 12,24 por ciento para 2022, </w:t>
            </w:r>
            <w:r w:rsidRPr="005D2402">
              <w:rPr>
                <w:rFonts w:ascii="Arial" w:hAnsi="Arial" w:cs="Arial"/>
                <w:color w:val="333333"/>
                <w:sz w:val="20"/>
                <w:szCs w:val="20"/>
              </w:rPr>
              <w:t>De acuerdo con la entidad, el sistema tiene actualmente una suficiencia negativa de -0,65 por ciento,</w:t>
            </w:r>
            <w:r w:rsidRPr="005D2402">
              <w:rPr>
                <w:rFonts w:ascii="Arial" w:hAnsi="Arial" w:cs="Arial"/>
                <w:b/>
                <w:bCs/>
                <w:color w:val="333333"/>
                <w:sz w:val="20"/>
                <w:szCs w:val="20"/>
              </w:rPr>
              <w:t> lo </w:t>
            </w:r>
            <w:r w:rsidRPr="005D2402">
              <w:rPr>
                <w:rFonts w:ascii="Arial" w:hAnsi="Arial" w:cs="Arial"/>
                <w:color w:val="000000"/>
                <w:sz w:val="20"/>
                <w:szCs w:val="20"/>
              </w:rPr>
              <w:t>que implica que las tarifas se modifiquen </w:t>
            </w:r>
            <w:hyperlink r:id="rId8" w:tgtFrame="_blank" w:tooltip="Ver comunicado del Ministerio de Trabajo." w:history="1">
              <w:r w:rsidRPr="005D2402">
                <w:rPr>
                  <w:rStyle w:val="Hipervnculo"/>
                  <w:rFonts w:ascii="Arial" w:hAnsi="Arial" w:cs="Arial"/>
                  <w:color w:val="000000"/>
                  <w:sz w:val="20"/>
                  <w:szCs w:val="20"/>
                </w:rPr>
                <w:t>en proporción al aumento del salario mínimo legal vigente de 2022.</w:t>
              </w:r>
            </w:hyperlink>
          </w:p>
          <w:p w:rsidR="001D6C9E" w:rsidRPr="005D2402" w:rsidRDefault="001D6C9E" w:rsidP="001D6C9E">
            <w:pPr>
              <w:shd w:val="clear" w:color="auto" w:fill="FFFFFF"/>
              <w:jc w:val="both"/>
              <w:rPr>
                <w:rFonts w:ascii="Arial" w:hAnsi="Arial" w:cs="Arial"/>
                <w:color w:val="222222"/>
                <w:sz w:val="20"/>
                <w:szCs w:val="20"/>
              </w:rPr>
            </w:pPr>
            <w:r w:rsidRPr="005D2402">
              <w:rPr>
                <w:rFonts w:ascii="Arial" w:hAnsi="Arial" w:cs="Arial"/>
                <w:color w:val="333333"/>
                <w:sz w:val="20"/>
                <w:szCs w:val="20"/>
              </w:rPr>
              <w:t> </w:t>
            </w:r>
          </w:p>
          <w:p w:rsidR="001D6C9E" w:rsidRPr="005D2402" w:rsidRDefault="001D6C9E" w:rsidP="001D6C9E">
            <w:pPr>
              <w:shd w:val="clear" w:color="auto" w:fill="FFFFFF"/>
              <w:jc w:val="both"/>
              <w:rPr>
                <w:rFonts w:ascii="Arial" w:hAnsi="Arial" w:cs="Arial"/>
                <w:color w:val="222222"/>
                <w:sz w:val="20"/>
                <w:szCs w:val="20"/>
              </w:rPr>
            </w:pPr>
            <w:r w:rsidRPr="005D2402">
              <w:rPr>
                <w:rFonts w:ascii="Arial" w:hAnsi="Arial" w:cs="Arial"/>
                <w:color w:val="333333"/>
                <w:sz w:val="20"/>
                <w:szCs w:val="20"/>
              </w:rPr>
              <w:t xml:space="preserve">"De acuerdo con la estructura del </w:t>
            </w:r>
            <w:proofErr w:type="spellStart"/>
            <w:r w:rsidRPr="005D2402">
              <w:rPr>
                <w:rFonts w:ascii="Arial" w:hAnsi="Arial" w:cs="Arial"/>
                <w:color w:val="333333"/>
                <w:sz w:val="20"/>
                <w:szCs w:val="20"/>
              </w:rPr>
              <w:t>Soat</w:t>
            </w:r>
            <w:proofErr w:type="spellEnd"/>
            <w:r w:rsidRPr="005D2402">
              <w:rPr>
                <w:rFonts w:ascii="Arial" w:hAnsi="Arial" w:cs="Arial"/>
                <w:color w:val="333333"/>
                <w:sz w:val="20"/>
                <w:szCs w:val="20"/>
              </w:rPr>
              <w:t xml:space="preserve"> y por disposición legal, a la tarifa máxima señalada por la SFC se le debe agregar una contribución a la Adres del 52 por ciento y la tasa </w:t>
            </w:r>
            <w:proofErr w:type="spellStart"/>
            <w:r w:rsidRPr="005D2402">
              <w:rPr>
                <w:rFonts w:ascii="Arial" w:hAnsi="Arial" w:cs="Arial"/>
                <w:color w:val="333333"/>
                <w:sz w:val="20"/>
                <w:szCs w:val="20"/>
              </w:rPr>
              <w:t>Runt</w:t>
            </w:r>
            <w:proofErr w:type="spellEnd"/>
            <w:r w:rsidRPr="005D2402">
              <w:rPr>
                <w:rFonts w:ascii="Arial" w:hAnsi="Arial" w:cs="Arial"/>
                <w:color w:val="333333"/>
                <w:sz w:val="20"/>
                <w:szCs w:val="20"/>
              </w:rPr>
              <w:t>, de tal manera que el valor comercial final</w:t>
            </w:r>
            <w:r w:rsidRPr="005D2402">
              <w:rPr>
                <w:rFonts w:ascii="Arial" w:hAnsi="Arial" w:cs="Arial"/>
                <w:color w:val="000000"/>
                <w:sz w:val="20"/>
                <w:szCs w:val="20"/>
              </w:rPr>
              <w:t>, esto es el valor que paga el tomador del seguro en pesos, tendrá una variación promedio de 12,24 por ciento para 2022", </w:t>
            </w:r>
            <w:hyperlink r:id="rId9" w:tgtFrame="_blank" w:tooltip="Ver comunicado de la Superintendencia Financiera de Colombia." w:history="1">
              <w:r w:rsidRPr="005D2402">
                <w:rPr>
                  <w:rStyle w:val="Hipervnculo"/>
                  <w:rFonts w:ascii="Arial" w:hAnsi="Arial" w:cs="Arial"/>
                  <w:color w:val="000000"/>
                  <w:sz w:val="20"/>
                  <w:szCs w:val="20"/>
                </w:rPr>
                <w:t>explicó la Superintendencia a través de un comunicado.</w:t>
              </w:r>
            </w:hyperlink>
          </w:p>
          <w:p w:rsidR="001D6C9E" w:rsidRPr="005D2402" w:rsidRDefault="001D6C9E" w:rsidP="001D6C9E">
            <w:pPr>
              <w:shd w:val="clear" w:color="auto" w:fill="FFFFFF"/>
              <w:jc w:val="both"/>
              <w:rPr>
                <w:rFonts w:ascii="Arial" w:hAnsi="Arial" w:cs="Arial"/>
                <w:color w:val="222222"/>
                <w:sz w:val="20"/>
                <w:szCs w:val="20"/>
              </w:rPr>
            </w:pPr>
          </w:p>
          <w:p w:rsidR="00616203" w:rsidRPr="005D2402" w:rsidRDefault="00616203" w:rsidP="00616203">
            <w:pPr>
              <w:pStyle w:val="Default"/>
              <w:jc w:val="both"/>
              <w:rPr>
                <w:sz w:val="20"/>
                <w:szCs w:val="20"/>
              </w:rPr>
            </w:pPr>
            <w:r w:rsidRPr="005D2402">
              <w:rPr>
                <w:sz w:val="20"/>
                <w:szCs w:val="20"/>
              </w:rPr>
              <w:t>La Ley 769 de 2002 “por la cual se expide el Código Nacional de Tránsito Terrestre” estableció en su artículo 42, lo siguiente: “SEGUROS OBLIGATORIOS. Para poder transitar en el territorio nacional, todos los vehículos deben estar amparados por un seguro obligatorio vigente.  El Seguro Obligatorio de Accidentes de Tránsito, SOAT, se regirá por las normas actualmente vigentes o aquellas que la modifiquen o sustituyan.”</w:t>
            </w:r>
          </w:p>
          <w:p w:rsidR="00616203" w:rsidRPr="005D2402" w:rsidRDefault="00616203" w:rsidP="001D6C9E">
            <w:pPr>
              <w:pStyle w:val="Default"/>
              <w:jc w:val="both"/>
              <w:rPr>
                <w:sz w:val="20"/>
                <w:szCs w:val="20"/>
              </w:rPr>
            </w:pPr>
          </w:p>
          <w:p w:rsidR="00616203" w:rsidRPr="005D2402" w:rsidRDefault="00616203" w:rsidP="00616203">
            <w:pPr>
              <w:pStyle w:val="Default"/>
              <w:jc w:val="both"/>
              <w:rPr>
                <w:sz w:val="20"/>
                <w:szCs w:val="20"/>
              </w:rPr>
            </w:pPr>
            <w:r w:rsidRPr="005D2402">
              <w:rPr>
                <w:sz w:val="20"/>
                <w:szCs w:val="20"/>
              </w:rPr>
              <w:t>Que de acuerdo con lo dispuesto en el artículo 5° del Decreto 1032 de 1991 y el artículo 195 del Decreto 663 de 1993, el Seguro Obligatorio de Daños Corporales o Seguro Obligatorio de Accidentes de Tránsito tiene entre sus objetivos cubrir la muerte, los gastos que se deban sufragar por atención médica, quirúrgica, farmacéutica y hospitalaria, la incapacidad permanente, los gastos funerarios y los ocasionados por el transporte de las víctimas a las instituciones prestadoras de salud, como consecuencia de un accidente de tránsito.</w:t>
            </w:r>
          </w:p>
          <w:p w:rsidR="00616203" w:rsidRPr="005D2402" w:rsidRDefault="00616203" w:rsidP="001D6C9E">
            <w:pPr>
              <w:pStyle w:val="Default"/>
              <w:jc w:val="both"/>
              <w:rPr>
                <w:sz w:val="20"/>
                <w:szCs w:val="20"/>
              </w:rPr>
            </w:pPr>
          </w:p>
          <w:p w:rsidR="001D6C9E" w:rsidRPr="005D2402" w:rsidRDefault="001D6C9E" w:rsidP="001D6C9E">
            <w:pPr>
              <w:pStyle w:val="Default"/>
              <w:jc w:val="both"/>
              <w:rPr>
                <w:sz w:val="20"/>
                <w:szCs w:val="20"/>
              </w:rPr>
            </w:pPr>
            <w:r w:rsidRPr="005D2402">
              <w:rPr>
                <w:sz w:val="20"/>
                <w:szCs w:val="20"/>
              </w:rPr>
              <w:t>Teniendo en cuenta que los seguros obligatorios (SOAT) tienen diversos vencimientos, debe adelantar</w:t>
            </w:r>
            <w:r w:rsidR="00616203" w:rsidRPr="005D2402">
              <w:rPr>
                <w:sz w:val="20"/>
                <w:szCs w:val="20"/>
              </w:rPr>
              <w:t>se</w:t>
            </w:r>
            <w:r w:rsidRPr="005D2402">
              <w:rPr>
                <w:sz w:val="20"/>
                <w:szCs w:val="20"/>
              </w:rPr>
              <w:t xml:space="preserve"> el proceso de contratación para la adquisición de las pólizas de seguros obligatorio (SOAT), para amparar todo el parque automotor desde las 24:00 horas del día</w:t>
            </w:r>
            <w:r w:rsidR="00616203" w:rsidRPr="005D2402">
              <w:rPr>
                <w:sz w:val="20"/>
                <w:szCs w:val="20"/>
              </w:rPr>
              <w:t xml:space="preserve"> en que se vencen en el año 2022</w:t>
            </w:r>
            <w:r w:rsidRPr="005D2402">
              <w:rPr>
                <w:sz w:val="20"/>
                <w:szCs w:val="20"/>
              </w:rPr>
              <w:t xml:space="preserve"> y extendidos por un año más.</w:t>
            </w:r>
          </w:p>
          <w:p w:rsidR="001D6C9E" w:rsidRPr="005D2402" w:rsidRDefault="001D6C9E" w:rsidP="001D6C9E">
            <w:pPr>
              <w:pStyle w:val="Default"/>
              <w:jc w:val="both"/>
              <w:rPr>
                <w:sz w:val="20"/>
                <w:szCs w:val="20"/>
              </w:rPr>
            </w:pPr>
          </w:p>
          <w:p w:rsidR="001D6C9E" w:rsidRPr="005D2402" w:rsidRDefault="001D6C9E" w:rsidP="001D6C9E">
            <w:pPr>
              <w:autoSpaceDE w:val="0"/>
              <w:autoSpaceDN w:val="0"/>
              <w:adjustRightInd w:val="0"/>
              <w:jc w:val="both"/>
              <w:rPr>
                <w:rFonts w:ascii="Arial" w:hAnsi="Arial" w:cs="Arial"/>
                <w:sz w:val="20"/>
                <w:szCs w:val="20"/>
              </w:rPr>
            </w:pPr>
            <w:r w:rsidRPr="005D2402">
              <w:rPr>
                <w:rFonts w:ascii="Arial" w:hAnsi="Arial" w:cs="Arial"/>
                <w:sz w:val="20"/>
                <w:szCs w:val="20"/>
              </w:rPr>
              <w:t>El parque automotor de la Personería Muni</w:t>
            </w:r>
            <w:r w:rsidR="00616203" w:rsidRPr="005D2402">
              <w:rPr>
                <w:rFonts w:ascii="Arial" w:hAnsi="Arial" w:cs="Arial"/>
                <w:sz w:val="20"/>
                <w:szCs w:val="20"/>
              </w:rPr>
              <w:t xml:space="preserve">cipal de Itagüí está compuesto </w:t>
            </w:r>
            <w:r w:rsidRPr="005D2402">
              <w:rPr>
                <w:rFonts w:ascii="Arial" w:hAnsi="Arial" w:cs="Arial"/>
                <w:sz w:val="20"/>
                <w:szCs w:val="20"/>
              </w:rPr>
              <w:t xml:space="preserve">por </w:t>
            </w:r>
            <w:r w:rsidR="00616203" w:rsidRPr="005D2402">
              <w:rPr>
                <w:rFonts w:ascii="Arial" w:hAnsi="Arial" w:cs="Arial"/>
                <w:sz w:val="20"/>
                <w:szCs w:val="20"/>
              </w:rPr>
              <w:t>dos (2)</w:t>
            </w:r>
            <w:r w:rsidRPr="005D2402">
              <w:rPr>
                <w:rFonts w:ascii="Arial" w:hAnsi="Arial" w:cs="Arial"/>
                <w:sz w:val="20"/>
                <w:szCs w:val="20"/>
              </w:rPr>
              <w:t xml:space="preserve"> vehículos</w:t>
            </w:r>
            <w:r w:rsidRPr="005D2402">
              <w:rPr>
                <w:rFonts w:ascii="Arial" w:hAnsi="Arial" w:cs="Arial"/>
                <w:sz w:val="20"/>
                <w:szCs w:val="20"/>
                <w:lang w:val="es-ES"/>
              </w:rPr>
              <w:t xml:space="preserve">, </w:t>
            </w:r>
            <w:r w:rsidRPr="005D2402">
              <w:rPr>
                <w:rFonts w:ascii="Arial" w:hAnsi="Arial" w:cs="Arial"/>
                <w:sz w:val="20"/>
                <w:szCs w:val="20"/>
              </w:rPr>
              <w:t>discriminados de la siguiente manera:</w:t>
            </w:r>
          </w:p>
          <w:p w:rsidR="001D6C9E" w:rsidRPr="005D2402" w:rsidRDefault="001D6C9E" w:rsidP="001D6C9E">
            <w:pPr>
              <w:pStyle w:val="Default"/>
              <w:jc w:val="both"/>
              <w:rPr>
                <w:sz w:val="20"/>
                <w:szCs w:val="20"/>
              </w:rPr>
            </w:pPr>
          </w:p>
          <w:tbl>
            <w:tblPr>
              <w:tblW w:w="937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2"/>
              <w:gridCol w:w="1517"/>
              <w:gridCol w:w="1754"/>
              <w:gridCol w:w="1657"/>
              <w:gridCol w:w="1723"/>
            </w:tblGrid>
            <w:tr w:rsidR="001D6C9E" w:rsidRPr="005D2402" w:rsidTr="001D6C9E">
              <w:tc>
                <w:tcPr>
                  <w:tcW w:w="2722" w:type="dxa"/>
                </w:tcPr>
                <w:p w:rsidR="001D6C9E" w:rsidRPr="005D2402" w:rsidRDefault="001D6C9E" w:rsidP="001D6C9E">
                  <w:pPr>
                    <w:pStyle w:val="Default"/>
                    <w:jc w:val="center"/>
                    <w:rPr>
                      <w:sz w:val="20"/>
                      <w:szCs w:val="20"/>
                    </w:rPr>
                  </w:pPr>
                  <w:r w:rsidRPr="005D2402">
                    <w:rPr>
                      <w:sz w:val="20"/>
                      <w:szCs w:val="20"/>
                    </w:rPr>
                    <w:t>TIPO DE VEHÍCULO (oficial)</w:t>
                  </w:r>
                </w:p>
              </w:tc>
              <w:tc>
                <w:tcPr>
                  <w:tcW w:w="1517" w:type="dxa"/>
                </w:tcPr>
                <w:p w:rsidR="001D6C9E" w:rsidRPr="005D2402" w:rsidRDefault="001D6C9E" w:rsidP="001D6C9E">
                  <w:pPr>
                    <w:pStyle w:val="Default"/>
                    <w:jc w:val="center"/>
                    <w:rPr>
                      <w:sz w:val="20"/>
                      <w:szCs w:val="20"/>
                    </w:rPr>
                  </w:pPr>
                  <w:r w:rsidRPr="005D2402">
                    <w:rPr>
                      <w:sz w:val="20"/>
                      <w:szCs w:val="20"/>
                    </w:rPr>
                    <w:t>MODELO</w:t>
                  </w:r>
                </w:p>
              </w:tc>
              <w:tc>
                <w:tcPr>
                  <w:tcW w:w="1754" w:type="dxa"/>
                </w:tcPr>
                <w:p w:rsidR="001D6C9E" w:rsidRPr="005D2402" w:rsidRDefault="001D6C9E" w:rsidP="001D6C9E">
                  <w:pPr>
                    <w:pStyle w:val="Default"/>
                    <w:jc w:val="center"/>
                    <w:rPr>
                      <w:sz w:val="20"/>
                      <w:szCs w:val="20"/>
                    </w:rPr>
                  </w:pPr>
                  <w:r w:rsidRPr="005D2402">
                    <w:rPr>
                      <w:sz w:val="20"/>
                      <w:szCs w:val="20"/>
                    </w:rPr>
                    <w:t>CILINDRAJE</w:t>
                  </w:r>
                </w:p>
              </w:tc>
              <w:tc>
                <w:tcPr>
                  <w:tcW w:w="1657" w:type="dxa"/>
                </w:tcPr>
                <w:p w:rsidR="001D6C9E" w:rsidRPr="005D2402" w:rsidRDefault="001D6C9E" w:rsidP="001D6C9E">
                  <w:pPr>
                    <w:pStyle w:val="Default"/>
                    <w:jc w:val="center"/>
                    <w:rPr>
                      <w:sz w:val="20"/>
                      <w:szCs w:val="20"/>
                    </w:rPr>
                  </w:pPr>
                  <w:r w:rsidRPr="005D2402">
                    <w:rPr>
                      <w:sz w:val="20"/>
                      <w:szCs w:val="20"/>
                    </w:rPr>
                    <w:t>CAPACIDAD PASAJEROS</w:t>
                  </w:r>
                </w:p>
              </w:tc>
              <w:tc>
                <w:tcPr>
                  <w:tcW w:w="1723" w:type="dxa"/>
                </w:tcPr>
                <w:p w:rsidR="001D6C9E" w:rsidRPr="005D2402" w:rsidRDefault="001D6C9E" w:rsidP="001D6C9E">
                  <w:pPr>
                    <w:pStyle w:val="Default"/>
                    <w:jc w:val="center"/>
                    <w:rPr>
                      <w:sz w:val="20"/>
                      <w:szCs w:val="20"/>
                    </w:rPr>
                  </w:pPr>
                  <w:r w:rsidRPr="005D2402">
                    <w:rPr>
                      <w:sz w:val="20"/>
                      <w:szCs w:val="20"/>
                    </w:rPr>
                    <w:t>PLACAS</w:t>
                  </w:r>
                </w:p>
              </w:tc>
            </w:tr>
            <w:tr w:rsidR="001D6C9E" w:rsidRPr="005D2402" w:rsidTr="001D6C9E">
              <w:tc>
                <w:tcPr>
                  <w:tcW w:w="2722" w:type="dxa"/>
                </w:tcPr>
                <w:p w:rsidR="001D6C9E" w:rsidRPr="005D2402" w:rsidRDefault="001D6C9E" w:rsidP="001D6C9E">
                  <w:pPr>
                    <w:pStyle w:val="Default"/>
                    <w:jc w:val="both"/>
                    <w:rPr>
                      <w:sz w:val="20"/>
                      <w:szCs w:val="20"/>
                    </w:rPr>
                  </w:pPr>
                  <w:r w:rsidRPr="005D2402">
                    <w:rPr>
                      <w:sz w:val="20"/>
                      <w:szCs w:val="20"/>
                    </w:rPr>
                    <w:t xml:space="preserve">Camioneta Nissan </w:t>
                  </w:r>
                  <w:proofErr w:type="spellStart"/>
                  <w:r w:rsidRPr="005D2402">
                    <w:rPr>
                      <w:sz w:val="20"/>
                      <w:szCs w:val="20"/>
                    </w:rPr>
                    <w:t>Frontier</w:t>
                  </w:r>
                  <w:proofErr w:type="spellEnd"/>
                  <w:r w:rsidRPr="005D2402">
                    <w:rPr>
                      <w:sz w:val="20"/>
                      <w:szCs w:val="20"/>
                    </w:rPr>
                    <w:t xml:space="preserve"> 3000</w:t>
                  </w:r>
                </w:p>
              </w:tc>
              <w:tc>
                <w:tcPr>
                  <w:tcW w:w="1517" w:type="dxa"/>
                </w:tcPr>
                <w:p w:rsidR="001D6C9E" w:rsidRPr="005D2402" w:rsidRDefault="001D6C9E" w:rsidP="001D6C9E">
                  <w:pPr>
                    <w:pStyle w:val="Default"/>
                    <w:jc w:val="center"/>
                    <w:rPr>
                      <w:sz w:val="20"/>
                      <w:szCs w:val="20"/>
                    </w:rPr>
                  </w:pPr>
                  <w:r w:rsidRPr="005D2402">
                    <w:rPr>
                      <w:sz w:val="20"/>
                      <w:szCs w:val="20"/>
                    </w:rPr>
                    <w:t>2006</w:t>
                  </w:r>
                </w:p>
              </w:tc>
              <w:tc>
                <w:tcPr>
                  <w:tcW w:w="1754" w:type="dxa"/>
                </w:tcPr>
                <w:p w:rsidR="001D6C9E" w:rsidRPr="005D2402" w:rsidRDefault="001D6C9E" w:rsidP="001D6C9E">
                  <w:pPr>
                    <w:pStyle w:val="Default"/>
                    <w:jc w:val="center"/>
                    <w:rPr>
                      <w:sz w:val="20"/>
                      <w:szCs w:val="20"/>
                    </w:rPr>
                  </w:pPr>
                  <w:r w:rsidRPr="005D2402">
                    <w:rPr>
                      <w:sz w:val="20"/>
                      <w:szCs w:val="20"/>
                    </w:rPr>
                    <w:t>3.000</w:t>
                  </w:r>
                </w:p>
              </w:tc>
              <w:tc>
                <w:tcPr>
                  <w:tcW w:w="1657" w:type="dxa"/>
                </w:tcPr>
                <w:p w:rsidR="001D6C9E" w:rsidRPr="005D2402" w:rsidRDefault="001D6C9E" w:rsidP="001D6C9E">
                  <w:pPr>
                    <w:pStyle w:val="Default"/>
                    <w:jc w:val="center"/>
                    <w:rPr>
                      <w:sz w:val="20"/>
                      <w:szCs w:val="20"/>
                    </w:rPr>
                  </w:pPr>
                  <w:r w:rsidRPr="005D2402">
                    <w:rPr>
                      <w:sz w:val="20"/>
                      <w:szCs w:val="20"/>
                    </w:rPr>
                    <w:t>5</w:t>
                  </w:r>
                </w:p>
              </w:tc>
              <w:tc>
                <w:tcPr>
                  <w:tcW w:w="1723" w:type="dxa"/>
                </w:tcPr>
                <w:p w:rsidR="001D6C9E" w:rsidRPr="005D2402" w:rsidRDefault="001D6C9E" w:rsidP="001D6C9E">
                  <w:pPr>
                    <w:pStyle w:val="Default"/>
                    <w:jc w:val="center"/>
                    <w:rPr>
                      <w:sz w:val="20"/>
                      <w:szCs w:val="20"/>
                    </w:rPr>
                  </w:pPr>
                  <w:r w:rsidRPr="005D2402">
                    <w:rPr>
                      <w:sz w:val="20"/>
                      <w:szCs w:val="20"/>
                    </w:rPr>
                    <w:t>OKE 517</w:t>
                  </w:r>
                </w:p>
              </w:tc>
            </w:tr>
            <w:tr w:rsidR="001D6C9E" w:rsidRPr="005D2402" w:rsidTr="001D6C9E">
              <w:tc>
                <w:tcPr>
                  <w:tcW w:w="2722" w:type="dxa"/>
                </w:tcPr>
                <w:p w:rsidR="001D6C9E" w:rsidRPr="005D2402" w:rsidRDefault="001D6C9E" w:rsidP="001D6C9E">
                  <w:pPr>
                    <w:pStyle w:val="Default"/>
                    <w:jc w:val="both"/>
                    <w:rPr>
                      <w:sz w:val="20"/>
                      <w:szCs w:val="20"/>
                    </w:rPr>
                  </w:pPr>
                  <w:r w:rsidRPr="005D2402">
                    <w:rPr>
                      <w:sz w:val="20"/>
                      <w:szCs w:val="20"/>
                    </w:rPr>
                    <w:t>Camioneta Toyota Prado</w:t>
                  </w:r>
                </w:p>
              </w:tc>
              <w:tc>
                <w:tcPr>
                  <w:tcW w:w="1517" w:type="dxa"/>
                </w:tcPr>
                <w:p w:rsidR="001D6C9E" w:rsidRPr="005D2402" w:rsidRDefault="001D6C9E" w:rsidP="001D6C9E">
                  <w:pPr>
                    <w:pStyle w:val="Default"/>
                    <w:jc w:val="center"/>
                    <w:rPr>
                      <w:sz w:val="20"/>
                      <w:szCs w:val="20"/>
                    </w:rPr>
                  </w:pPr>
                  <w:r w:rsidRPr="005D2402">
                    <w:rPr>
                      <w:sz w:val="20"/>
                      <w:szCs w:val="20"/>
                    </w:rPr>
                    <w:t>2013</w:t>
                  </w:r>
                </w:p>
              </w:tc>
              <w:tc>
                <w:tcPr>
                  <w:tcW w:w="1754" w:type="dxa"/>
                </w:tcPr>
                <w:p w:rsidR="001D6C9E" w:rsidRPr="005D2402" w:rsidRDefault="001D6C9E" w:rsidP="001D6C9E">
                  <w:pPr>
                    <w:pStyle w:val="Default"/>
                    <w:jc w:val="center"/>
                    <w:rPr>
                      <w:sz w:val="20"/>
                      <w:szCs w:val="20"/>
                    </w:rPr>
                  </w:pPr>
                  <w:r w:rsidRPr="005D2402">
                    <w:rPr>
                      <w:sz w:val="20"/>
                      <w:szCs w:val="20"/>
                    </w:rPr>
                    <w:t>3.000</w:t>
                  </w:r>
                </w:p>
              </w:tc>
              <w:tc>
                <w:tcPr>
                  <w:tcW w:w="1657" w:type="dxa"/>
                </w:tcPr>
                <w:p w:rsidR="001D6C9E" w:rsidRPr="005D2402" w:rsidRDefault="001D6C9E" w:rsidP="001D6C9E">
                  <w:pPr>
                    <w:pStyle w:val="Default"/>
                    <w:jc w:val="center"/>
                    <w:rPr>
                      <w:sz w:val="20"/>
                      <w:szCs w:val="20"/>
                    </w:rPr>
                  </w:pPr>
                  <w:r w:rsidRPr="005D2402">
                    <w:rPr>
                      <w:sz w:val="20"/>
                      <w:szCs w:val="20"/>
                    </w:rPr>
                    <w:t>7</w:t>
                  </w:r>
                </w:p>
              </w:tc>
              <w:tc>
                <w:tcPr>
                  <w:tcW w:w="1723" w:type="dxa"/>
                </w:tcPr>
                <w:p w:rsidR="001D6C9E" w:rsidRPr="005D2402" w:rsidRDefault="001D6C9E" w:rsidP="001D6C9E">
                  <w:pPr>
                    <w:pStyle w:val="Default"/>
                    <w:jc w:val="center"/>
                    <w:rPr>
                      <w:sz w:val="20"/>
                      <w:szCs w:val="20"/>
                    </w:rPr>
                  </w:pPr>
                  <w:r w:rsidRPr="005D2402">
                    <w:rPr>
                      <w:sz w:val="20"/>
                      <w:szCs w:val="20"/>
                    </w:rPr>
                    <w:t>OKE 564</w:t>
                  </w:r>
                </w:p>
              </w:tc>
            </w:tr>
            <w:tr w:rsidR="001D6C9E" w:rsidRPr="005D2402" w:rsidTr="001D6C9E">
              <w:tc>
                <w:tcPr>
                  <w:tcW w:w="2722" w:type="dxa"/>
                </w:tcPr>
                <w:p w:rsidR="001D6C9E" w:rsidRPr="005D2402" w:rsidRDefault="001D6C9E" w:rsidP="001D6C9E">
                  <w:pPr>
                    <w:pStyle w:val="Default"/>
                    <w:jc w:val="both"/>
                    <w:rPr>
                      <w:sz w:val="20"/>
                      <w:szCs w:val="20"/>
                    </w:rPr>
                  </w:pPr>
                  <w:r w:rsidRPr="005D2402">
                    <w:rPr>
                      <w:sz w:val="20"/>
                      <w:szCs w:val="20"/>
                    </w:rPr>
                    <w:t xml:space="preserve">Motocicleta </w:t>
                  </w:r>
                  <w:proofErr w:type="spellStart"/>
                  <w:r w:rsidRPr="005D2402">
                    <w:rPr>
                      <w:sz w:val="20"/>
                      <w:szCs w:val="20"/>
                    </w:rPr>
                    <w:t>Auteco</w:t>
                  </w:r>
                  <w:proofErr w:type="spellEnd"/>
                  <w:r w:rsidRPr="005D2402">
                    <w:rPr>
                      <w:sz w:val="20"/>
                      <w:szCs w:val="20"/>
                    </w:rPr>
                    <w:t xml:space="preserve"> </w:t>
                  </w:r>
                  <w:proofErr w:type="spellStart"/>
                  <w:r w:rsidRPr="005D2402">
                    <w:rPr>
                      <w:sz w:val="20"/>
                      <w:szCs w:val="20"/>
                    </w:rPr>
                    <w:t>Bajaj</w:t>
                  </w:r>
                  <w:proofErr w:type="spellEnd"/>
                  <w:r w:rsidRPr="005D2402">
                    <w:rPr>
                      <w:sz w:val="20"/>
                      <w:szCs w:val="20"/>
                    </w:rPr>
                    <w:t xml:space="preserve"> </w:t>
                  </w:r>
                </w:p>
              </w:tc>
              <w:tc>
                <w:tcPr>
                  <w:tcW w:w="1517" w:type="dxa"/>
                </w:tcPr>
                <w:p w:rsidR="001D6C9E" w:rsidRPr="005D2402" w:rsidRDefault="001D6C9E" w:rsidP="001D6C9E">
                  <w:pPr>
                    <w:pStyle w:val="Default"/>
                    <w:jc w:val="center"/>
                    <w:rPr>
                      <w:sz w:val="20"/>
                      <w:szCs w:val="20"/>
                    </w:rPr>
                  </w:pPr>
                  <w:r w:rsidRPr="005D2402">
                    <w:rPr>
                      <w:sz w:val="20"/>
                      <w:szCs w:val="20"/>
                    </w:rPr>
                    <w:t>2005</w:t>
                  </w:r>
                </w:p>
              </w:tc>
              <w:tc>
                <w:tcPr>
                  <w:tcW w:w="1754" w:type="dxa"/>
                </w:tcPr>
                <w:p w:rsidR="001D6C9E" w:rsidRPr="005D2402" w:rsidRDefault="001D6C9E" w:rsidP="001D6C9E">
                  <w:pPr>
                    <w:pStyle w:val="Default"/>
                    <w:jc w:val="center"/>
                    <w:rPr>
                      <w:sz w:val="20"/>
                      <w:szCs w:val="20"/>
                    </w:rPr>
                  </w:pPr>
                  <w:r w:rsidRPr="005D2402">
                    <w:rPr>
                      <w:sz w:val="20"/>
                      <w:szCs w:val="20"/>
                    </w:rPr>
                    <w:t>99</w:t>
                  </w:r>
                </w:p>
              </w:tc>
              <w:tc>
                <w:tcPr>
                  <w:tcW w:w="1657" w:type="dxa"/>
                </w:tcPr>
                <w:p w:rsidR="001D6C9E" w:rsidRPr="005D2402" w:rsidRDefault="001D6C9E" w:rsidP="001D6C9E">
                  <w:pPr>
                    <w:pStyle w:val="Default"/>
                    <w:jc w:val="center"/>
                    <w:rPr>
                      <w:sz w:val="20"/>
                      <w:szCs w:val="20"/>
                    </w:rPr>
                  </w:pPr>
                  <w:r w:rsidRPr="005D2402">
                    <w:rPr>
                      <w:sz w:val="20"/>
                      <w:szCs w:val="20"/>
                    </w:rPr>
                    <w:t>2</w:t>
                  </w:r>
                </w:p>
              </w:tc>
              <w:tc>
                <w:tcPr>
                  <w:tcW w:w="1723" w:type="dxa"/>
                </w:tcPr>
                <w:p w:rsidR="001D6C9E" w:rsidRPr="005D2402" w:rsidRDefault="001D6C9E" w:rsidP="001D6C9E">
                  <w:pPr>
                    <w:pStyle w:val="Default"/>
                    <w:jc w:val="center"/>
                    <w:rPr>
                      <w:sz w:val="20"/>
                      <w:szCs w:val="20"/>
                    </w:rPr>
                  </w:pPr>
                  <w:r w:rsidRPr="005D2402">
                    <w:rPr>
                      <w:sz w:val="20"/>
                      <w:szCs w:val="20"/>
                    </w:rPr>
                    <w:t>ZQD 11A</w:t>
                  </w:r>
                </w:p>
              </w:tc>
            </w:tr>
          </w:tbl>
          <w:p w:rsidR="001D6C9E" w:rsidRPr="005D2402" w:rsidRDefault="001D6C9E" w:rsidP="001D6C9E">
            <w:pPr>
              <w:pStyle w:val="Default"/>
              <w:jc w:val="both"/>
              <w:rPr>
                <w:sz w:val="20"/>
                <w:szCs w:val="20"/>
              </w:rPr>
            </w:pPr>
          </w:p>
          <w:p w:rsidR="001D6C9E" w:rsidRPr="005D2402" w:rsidRDefault="001D6C9E" w:rsidP="001D6C9E">
            <w:pPr>
              <w:autoSpaceDE w:val="0"/>
              <w:autoSpaceDN w:val="0"/>
              <w:adjustRightInd w:val="0"/>
              <w:jc w:val="both"/>
              <w:rPr>
                <w:rFonts w:ascii="Arial" w:hAnsi="Arial" w:cs="Arial"/>
                <w:sz w:val="20"/>
                <w:szCs w:val="20"/>
              </w:rPr>
            </w:pPr>
            <w:r w:rsidRPr="005D2402">
              <w:rPr>
                <w:rFonts w:ascii="Arial" w:hAnsi="Arial" w:cs="Arial"/>
                <w:sz w:val="20"/>
                <w:szCs w:val="20"/>
              </w:rPr>
              <w:t xml:space="preserve">Estos </w:t>
            </w:r>
            <w:r w:rsidRPr="005D2402">
              <w:rPr>
                <w:rFonts w:ascii="Arial" w:hAnsi="Arial" w:cs="Arial"/>
                <w:sz w:val="20"/>
                <w:szCs w:val="20"/>
                <w:lang w:val="es-ES"/>
              </w:rPr>
              <w:t>vehículos para su normal movilización de acuerdo con lo establecido por el artículo 42 del Código de Tránsito y demás normas concordantes, requieren estar debidamente asegurados y portar vigente la póliza de SEGURO DE DAÑOS CORPORALES CAUSADOS A LAS PERSONAS EN ACCIDENTES DE TRANSITO – SOAT-. La</w:t>
            </w:r>
            <w:r w:rsidRPr="005D2402">
              <w:rPr>
                <w:rFonts w:ascii="Arial" w:hAnsi="Arial" w:cs="Arial"/>
                <w:sz w:val="20"/>
                <w:szCs w:val="20"/>
              </w:rPr>
              <w:t xml:space="preserve"> vigencia de las pólizas es mínimo de un año y las actualmente vigentes tienen las siguientes fechas de vencimiento:</w:t>
            </w:r>
          </w:p>
          <w:p w:rsidR="001D6C9E" w:rsidRPr="005D2402" w:rsidRDefault="001D6C9E" w:rsidP="001D6C9E">
            <w:pPr>
              <w:pStyle w:val="Default"/>
              <w:jc w:val="both"/>
              <w:rPr>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9"/>
              <w:gridCol w:w="1170"/>
              <w:gridCol w:w="1500"/>
              <w:gridCol w:w="1588"/>
              <w:gridCol w:w="1105"/>
              <w:gridCol w:w="1744"/>
            </w:tblGrid>
            <w:tr w:rsidR="001D6C9E" w:rsidRPr="005D2402" w:rsidTr="001D6C9E">
              <w:tc>
                <w:tcPr>
                  <w:tcW w:w="1569" w:type="dxa"/>
                </w:tcPr>
                <w:p w:rsidR="001D6C9E" w:rsidRPr="005D2402" w:rsidRDefault="001D6C9E" w:rsidP="001D6C9E">
                  <w:pPr>
                    <w:pStyle w:val="Default"/>
                    <w:jc w:val="center"/>
                    <w:rPr>
                      <w:sz w:val="20"/>
                      <w:szCs w:val="20"/>
                    </w:rPr>
                  </w:pPr>
                  <w:r w:rsidRPr="005D2402">
                    <w:rPr>
                      <w:sz w:val="20"/>
                      <w:szCs w:val="20"/>
                    </w:rPr>
                    <w:t>TIPO DE VEHÍCULO</w:t>
                  </w:r>
                </w:p>
              </w:tc>
              <w:tc>
                <w:tcPr>
                  <w:tcW w:w="1170" w:type="dxa"/>
                </w:tcPr>
                <w:p w:rsidR="001D6C9E" w:rsidRPr="005D2402" w:rsidRDefault="001D6C9E" w:rsidP="001D6C9E">
                  <w:pPr>
                    <w:pStyle w:val="Default"/>
                    <w:jc w:val="center"/>
                    <w:rPr>
                      <w:sz w:val="20"/>
                      <w:szCs w:val="20"/>
                    </w:rPr>
                  </w:pPr>
                  <w:r w:rsidRPr="005D2402">
                    <w:rPr>
                      <w:sz w:val="20"/>
                      <w:szCs w:val="20"/>
                    </w:rPr>
                    <w:t>MODELO</w:t>
                  </w:r>
                </w:p>
              </w:tc>
              <w:tc>
                <w:tcPr>
                  <w:tcW w:w="1500" w:type="dxa"/>
                </w:tcPr>
                <w:p w:rsidR="001D6C9E" w:rsidRPr="005D2402" w:rsidRDefault="001D6C9E" w:rsidP="001D6C9E">
                  <w:pPr>
                    <w:pStyle w:val="Default"/>
                    <w:jc w:val="center"/>
                    <w:rPr>
                      <w:sz w:val="20"/>
                      <w:szCs w:val="20"/>
                    </w:rPr>
                  </w:pPr>
                  <w:r w:rsidRPr="005D2402">
                    <w:rPr>
                      <w:sz w:val="20"/>
                      <w:szCs w:val="20"/>
                    </w:rPr>
                    <w:t>CILINDRAJE</w:t>
                  </w:r>
                </w:p>
              </w:tc>
              <w:tc>
                <w:tcPr>
                  <w:tcW w:w="1588" w:type="dxa"/>
                </w:tcPr>
                <w:p w:rsidR="001D6C9E" w:rsidRPr="005D2402" w:rsidRDefault="001D6C9E" w:rsidP="001D6C9E">
                  <w:pPr>
                    <w:pStyle w:val="Default"/>
                    <w:jc w:val="center"/>
                    <w:rPr>
                      <w:sz w:val="20"/>
                      <w:szCs w:val="20"/>
                    </w:rPr>
                  </w:pPr>
                  <w:r w:rsidRPr="005D2402">
                    <w:rPr>
                      <w:sz w:val="20"/>
                      <w:szCs w:val="20"/>
                    </w:rPr>
                    <w:t>CAPACIDAD PASAJEROS</w:t>
                  </w:r>
                </w:p>
              </w:tc>
              <w:tc>
                <w:tcPr>
                  <w:tcW w:w="1105" w:type="dxa"/>
                </w:tcPr>
                <w:p w:rsidR="001D6C9E" w:rsidRPr="005D2402" w:rsidRDefault="001D6C9E" w:rsidP="001D6C9E">
                  <w:pPr>
                    <w:pStyle w:val="Default"/>
                    <w:jc w:val="center"/>
                    <w:rPr>
                      <w:sz w:val="20"/>
                      <w:szCs w:val="20"/>
                    </w:rPr>
                  </w:pPr>
                  <w:r w:rsidRPr="005D2402">
                    <w:rPr>
                      <w:sz w:val="20"/>
                      <w:szCs w:val="20"/>
                    </w:rPr>
                    <w:t>PLACAS</w:t>
                  </w:r>
                </w:p>
              </w:tc>
              <w:tc>
                <w:tcPr>
                  <w:tcW w:w="1744" w:type="dxa"/>
                </w:tcPr>
                <w:p w:rsidR="001D6C9E" w:rsidRPr="005D2402" w:rsidRDefault="001D6C9E" w:rsidP="001D6C9E">
                  <w:pPr>
                    <w:pStyle w:val="Default"/>
                    <w:jc w:val="center"/>
                    <w:rPr>
                      <w:sz w:val="20"/>
                      <w:szCs w:val="20"/>
                    </w:rPr>
                  </w:pPr>
                  <w:r w:rsidRPr="005D2402">
                    <w:rPr>
                      <w:sz w:val="20"/>
                      <w:szCs w:val="20"/>
                    </w:rPr>
                    <w:t>FECHA VENCIMIENTO POLIZA</w:t>
                  </w:r>
                </w:p>
              </w:tc>
            </w:tr>
            <w:tr w:rsidR="001D6C9E" w:rsidRPr="005D2402" w:rsidTr="001D6C9E">
              <w:tc>
                <w:tcPr>
                  <w:tcW w:w="1569" w:type="dxa"/>
                </w:tcPr>
                <w:p w:rsidR="001D6C9E" w:rsidRPr="005D2402" w:rsidRDefault="001D6C9E" w:rsidP="001D6C9E">
                  <w:pPr>
                    <w:pStyle w:val="Default"/>
                    <w:jc w:val="both"/>
                    <w:rPr>
                      <w:sz w:val="20"/>
                      <w:szCs w:val="20"/>
                    </w:rPr>
                  </w:pPr>
                  <w:r w:rsidRPr="005D2402">
                    <w:rPr>
                      <w:sz w:val="20"/>
                      <w:szCs w:val="20"/>
                    </w:rPr>
                    <w:t>Camioneta Toyota Prado</w:t>
                  </w:r>
                </w:p>
              </w:tc>
              <w:tc>
                <w:tcPr>
                  <w:tcW w:w="1170" w:type="dxa"/>
                </w:tcPr>
                <w:p w:rsidR="001D6C9E" w:rsidRPr="005D2402" w:rsidRDefault="001D6C9E" w:rsidP="001D6C9E">
                  <w:pPr>
                    <w:pStyle w:val="Default"/>
                    <w:jc w:val="center"/>
                    <w:rPr>
                      <w:sz w:val="20"/>
                      <w:szCs w:val="20"/>
                    </w:rPr>
                  </w:pPr>
                  <w:r w:rsidRPr="005D2402">
                    <w:rPr>
                      <w:sz w:val="20"/>
                      <w:szCs w:val="20"/>
                    </w:rPr>
                    <w:t>2013</w:t>
                  </w:r>
                </w:p>
              </w:tc>
              <w:tc>
                <w:tcPr>
                  <w:tcW w:w="1500" w:type="dxa"/>
                </w:tcPr>
                <w:p w:rsidR="001D6C9E" w:rsidRPr="005D2402" w:rsidRDefault="001D6C9E" w:rsidP="001D6C9E">
                  <w:pPr>
                    <w:pStyle w:val="Default"/>
                    <w:jc w:val="center"/>
                    <w:rPr>
                      <w:sz w:val="20"/>
                      <w:szCs w:val="20"/>
                    </w:rPr>
                  </w:pPr>
                  <w:r w:rsidRPr="005D2402">
                    <w:rPr>
                      <w:sz w:val="20"/>
                      <w:szCs w:val="20"/>
                    </w:rPr>
                    <w:t>3.000</w:t>
                  </w:r>
                </w:p>
              </w:tc>
              <w:tc>
                <w:tcPr>
                  <w:tcW w:w="1588" w:type="dxa"/>
                </w:tcPr>
                <w:p w:rsidR="001D6C9E" w:rsidRPr="005D2402" w:rsidRDefault="001D6C9E" w:rsidP="001D6C9E">
                  <w:pPr>
                    <w:pStyle w:val="Default"/>
                    <w:jc w:val="center"/>
                    <w:rPr>
                      <w:sz w:val="20"/>
                      <w:szCs w:val="20"/>
                    </w:rPr>
                  </w:pPr>
                  <w:r w:rsidRPr="005D2402">
                    <w:rPr>
                      <w:sz w:val="20"/>
                      <w:szCs w:val="20"/>
                    </w:rPr>
                    <w:t>7</w:t>
                  </w:r>
                </w:p>
              </w:tc>
              <w:tc>
                <w:tcPr>
                  <w:tcW w:w="1105" w:type="dxa"/>
                </w:tcPr>
                <w:p w:rsidR="001D6C9E" w:rsidRPr="005D2402" w:rsidRDefault="001D6C9E" w:rsidP="001D6C9E">
                  <w:pPr>
                    <w:pStyle w:val="Default"/>
                    <w:jc w:val="center"/>
                    <w:rPr>
                      <w:sz w:val="20"/>
                      <w:szCs w:val="20"/>
                    </w:rPr>
                  </w:pPr>
                  <w:r w:rsidRPr="005D2402">
                    <w:rPr>
                      <w:sz w:val="20"/>
                      <w:szCs w:val="20"/>
                    </w:rPr>
                    <w:t>OKE 564</w:t>
                  </w:r>
                </w:p>
              </w:tc>
              <w:tc>
                <w:tcPr>
                  <w:tcW w:w="1744" w:type="dxa"/>
                </w:tcPr>
                <w:p w:rsidR="001D6C9E" w:rsidRPr="005D2402" w:rsidRDefault="00616203" w:rsidP="009C428E">
                  <w:pPr>
                    <w:pStyle w:val="Default"/>
                    <w:jc w:val="center"/>
                    <w:rPr>
                      <w:sz w:val="20"/>
                      <w:szCs w:val="20"/>
                    </w:rPr>
                  </w:pPr>
                  <w:r w:rsidRPr="005D2402">
                    <w:rPr>
                      <w:sz w:val="20"/>
                      <w:szCs w:val="20"/>
                    </w:rPr>
                    <w:t>2</w:t>
                  </w:r>
                  <w:r w:rsidR="009C428E" w:rsidRPr="005D2402">
                    <w:rPr>
                      <w:sz w:val="20"/>
                      <w:szCs w:val="20"/>
                    </w:rPr>
                    <w:t>6</w:t>
                  </w:r>
                  <w:r w:rsidRPr="005D2402">
                    <w:rPr>
                      <w:sz w:val="20"/>
                      <w:szCs w:val="20"/>
                    </w:rPr>
                    <w:t>/03/202</w:t>
                  </w:r>
                  <w:r w:rsidR="009E5567" w:rsidRPr="005D2402">
                    <w:rPr>
                      <w:sz w:val="20"/>
                      <w:szCs w:val="20"/>
                    </w:rPr>
                    <w:t>2</w:t>
                  </w:r>
                </w:p>
              </w:tc>
            </w:tr>
            <w:tr w:rsidR="001D6C9E" w:rsidRPr="005D2402" w:rsidTr="001D6C9E">
              <w:tc>
                <w:tcPr>
                  <w:tcW w:w="1569" w:type="dxa"/>
                </w:tcPr>
                <w:p w:rsidR="001D6C9E" w:rsidRPr="005D2402" w:rsidRDefault="001D6C9E" w:rsidP="001D6C9E">
                  <w:pPr>
                    <w:pStyle w:val="Default"/>
                    <w:jc w:val="both"/>
                    <w:rPr>
                      <w:sz w:val="20"/>
                      <w:szCs w:val="20"/>
                    </w:rPr>
                  </w:pPr>
                  <w:r w:rsidRPr="005D2402">
                    <w:rPr>
                      <w:sz w:val="20"/>
                      <w:szCs w:val="20"/>
                    </w:rPr>
                    <w:t xml:space="preserve">Camioneta Nissan </w:t>
                  </w:r>
                  <w:proofErr w:type="spellStart"/>
                  <w:r w:rsidRPr="005D2402">
                    <w:rPr>
                      <w:sz w:val="20"/>
                      <w:szCs w:val="20"/>
                    </w:rPr>
                    <w:t>Frontier</w:t>
                  </w:r>
                  <w:proofErr w:type="spellEnd"/>
                </w:p>
              </w:tc>
              <w:tc>
                <w:tcPr>
                  <w:tcW w:w="1170" w:type="dxa"/>
                </w:tcPr>
                <w:p w:rsidR="001D6C9E" w:rsidRPr="005D2402" w:rsidRDefault="001D6C9E" w:rsidP="001D6C9E">
                  <w:pPr>
                    <w:pStyle w:val="Default"/>
                    <w:jc w:val="center"/>
                    <w:rPr>
                      <w:sz w:val="20"/>
                      <w:szCs w:val="20"/>
                    </w:rPr>
                  </w:pPr>
                  <w:r w:rsidRPr="005D2402">
                    <w:rPr>
                      <w:sz w:val="20"/>
                      <w:szCs w:val="20"/>
                    </w:rPr>
                    <w:t>2006</w:t>
                  </w:r>
                </w:p>
              </w:tc>
              <w:tc>
                <w:tcPr>
                  <w:tcW w:w="1500" w:type="dxa"/>
                </w:tcPr>
                <w:p w:rsidR="001D6C9E" w:rsidRPr="005D2402" w:rsidRDefault="001D6C9E" w:rsidP="001D6C9E">
                  <w:pPr>
                    <w:pStyle w:val="Default"/>
                    <w:jc w:val="center"/>
                    <w:rPr>
                      <w:sz w:val="20"/>
                      <w:szCs w:val="20"/>
                    </w:rPr>
                  </w:pPr>
                  <w:r w:rsidRPr="005D2402">
                    <w:rPr>
                      <w:sz w:val="20"/>
                      <w:szCs w:val="20"/>
                    </w:rPr>
                    <w:t>3.000</w:t>
                  </w:r>
                </w:p>
              </w:tc>
              <w:tc>
                <w:tcPr>
                  <w:tcW w:w="1588" w:type="dxa"/>
                </w:tcPr>
                <w:p w:rsidR="001D6C9E" w:rsidRPr="005D2402" w:rsidRDefault="001D6C9E" w:rsidP="001D6C9E">
                  <w:pPr>
                    <w:pStyle w:val="Default"/>
                    <w:jc w:val="center"/>
                    <w:rPr>
                      <w:sz w:val="20"/>
                      <w:szCs w:val="20"/>
                    </w:rPr>
                  </w:pPr>
                  <w:r w:rsidRPr="005D2402">
                    <w:rPr>
                      <w:sz w:val="20"/>
                      <w:szCs w:val="20"/>
                    </w:rPr>
                    <w:t>5</w:t>
                  </w:r>
                </w:p>
              </w:tc>
              <w:tc>
                <w:tcPr>
                  <w:tcW w:w="1105" w:type="dxa"/>
                </w:tcPr>
                <w:p w:rsidR="001D6C9E" w:rsidRPr="005D2402" w:rsidRDefault="001D6C9E" w:rsidP="001D6C9E">
                  <w:pPr>
                    <w:pStyle w:val="Default"/>
                    <w:jc w:val="center"/>
                    <w:rPr>
                      <w:sz w:val="20"/>
                      <w:szCs w:val="20"/>
                    </w:rPr>
                  </w:pPr>
                  <w:r w:rsidRPr="005D2402">
                    <w:rPr>
                      <w:sz w:val="20"/>
                      <w:szCs w:val="20"/>
                    </w:rPr>
                    <w:t>OKE 517</w:t>
                  </w:r>
                </w:p>
              </w:tc>
              <w:tc>
                <w:tcPr>
                  <w:tcW w:w="1744" w:type="dxa"/>
                </w:tcPr>
                <w:p w:rsidR="001D6C9E" w:rsidRPr="005D2402" w:rsidRDefault="009E5567" w:rsidP="001D6C9E">
                  <w:pPr>
                    <w:pStyle w:val="Default"/>
                    <w:jc w:val="center"/>
                    <w:rPr>
                      <w:sz w:val="20"/>
                      <w:szCs w:val="20"/>
                    </w:rPr>
                  </w:pPr>
                  <w:r w:rsidRPr="005D2402">
                    <w:rPr>
                      <w:sz w:val="20"/>
                      <w:szCs w:val="20"/>
                    </w:rPr>
                    <w:t>19/05/2022</w:t>
                  </w:r>
                </w:p>
              </w:tc>
            </w:tr>
          </w:tbl>
          <w:p w:rsidR="002623DF" w:rsidRPr="005D2402" w:rsidRDefault="002623DF" w:rsidP="00D015EE">
            <w:pPr>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jc w:val="both"/>
              <w:rPr>
                <w:rFonts w:ascii="Arial" w:hAnsi="Arial" w:cs="Arial"/>
                <w:sz w:val="20"/>
                <w:szCs w:val="20"/>
              </w:rPr>
            </w:pPr>
            <w:r w:rsidRPr="005D2402">
              <w:rPr>
                <w:rFonts w:ascii="Arial" w:hAnsi="Arial" w:cs="Arial"/>
                <w:sz w:val="20"/>
                <w:szCs w:val="20"/>
              </w:rPr>
              <w:t>2.</w:t>
            </w:r>
            <w:r w:rsidRPr="005D2402">
              <w:rPr>
                <w:rFonts w:ascii="Arial" w:hAnsi="Arial" w:cs="Arial"/>
                <w:sz w:val="20"/>
                <w:szCs w:val="20"/>
              </w:rPr>
              <w:tab/>
              <w:t>OBJETO DEL CONTRATO:</w:t>
            </w:r>
          </w:p>
          <w:p w:rsidR="002623DF" w:rsidRPr="005D2402" w:rsidRDefault="002623DF" w:rsidP="00D015EE">
            <w:pPr>
              <w:jc w:val="both"/>
              <w:rPr>
                <w:rFonts w:ascii="Arial" w:hAnsi="Arial" w:cs="Arial"/>
                <w:sz w:val="20"/>
                <w:szCs w:val="20"/>
              </w:rPr>
            </w:pPr>
          </w:p>
          <w:p w:rsidR="002623DF" w:rsidRPr="005D2402" w:rsidRDefault="009E5567" w:rsidP="00D015EE">
            <w:pPr>
              <w:jc w:val="both"/>
              <w:rPr>
                <w:rFonts w:ascii="Arial" w:hAnsi="Arial" w:cs="Arial"/>
                <w:sz w:val="20"/>
                <w:szCs w:val="20"/>
              </w:rPr>
            </w:pPr>
            <w:r w:rsidRPr="005D2402">
              <w:rPr>
                <w:rFonts w:ascii="Arial" w:hAnsi="Arial" w:cs="Arial"/>
                <w:sz w:val="20"/>
                <w:szCs w:val="20"/>
              </w:rPr>
              <w:t>ADQUISICIÓN SOAT PARA EL PARQUE AUTOMOTOR DE LA PERSONERIA DE ITAGUI</w:t>
            </w:r>
          </w:p>
          <w:p w:rsidR="002623DF" w:rsidRPr="005D2402" w:rsidRDefault="002623DF" w:rsidP="00D015EE">
            <w:pPr>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jc w:val="both"/>
              <w:rPr>
                <w:rFonts w:ascii="Arial" w:eastAsiaTheme="minorHAnsi" w:hAnsi="Arial" w:cs="Arial"/>
                <w:bCs/>
                <w:sz w:val="20"/>
                <w:szCs w:val="20"/>
                <w:lang w:eastAsia="en-US"/>
              </w:rPr>
            </w:pPr>
            <w:r w:rsidRPr="005D2402">
              <w:rPr>
                <w:rFonts w:ascii="Arial" w:hAnsi="Arial" w:cs="Arial"/>
                <w:bCs/>
                <w:sz w:val="20"/>
                <w:szCs w:val="20"/>
              </w:rPr>
              <w:t>3.</w:t>
            </w:r>
            <w:r w:rsidRPr="005D2402">
              <w:rPr>
                <w:rFonts w:ascii="Arial" w:hAnsi="Arial" w:cs="Arial"/>
                <w:bCs/>
                <w:sz w:val="20"/>
                <w:szCs w:val="20"/>
              </w:rPr>
              <w:tab/>
              <w:t xml:space="preserve">CÓDIGO </w:t>
            </w:r>
            <w:r w:rsidRPr="005D2402">
              <w:rPr>
                <w:rFonts w:ascii="Arial" w:eastAsiaTheme="minorHAnsi" w:hAnsi="Arial" w:cs="Arial"/>
                <w:bCs/>
                <w:sz w:val="20"/>
                <w:szCs w:val="20"/>
                <w:lang w:eastAsia="en-US"/>
              </w:rPr>
              <w:t>UNSPSC:</w:t>
            </w:r>
          </w:p>
          <w:p w:rsidR="002623DF" w:rsidRPr="005D2402" w:rsidRDefault="002623DF" w:rsidP="00D015EE">
            <w:pPr>
              <w:jc w:val="both"/>
              <w:rPr>
                <w:rFonts w:ascii="Arial" w:eastAsiaTheme="minorHAnsi" w:hAnsi="Arial" w:cs="Arial"/>
                <w:b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410"/>
              <w:gridCol w:w="4252"/>
            </w:tblGrid>
            <w:tr w:rsidR="009E5567" w:rsidRPr="005D2402" w:rsidTr="009E5567">
              <w:tc>
                <w:tcPr>
                  <w:tcW w:w="1951" w:type="dxa"/>
                </w:tcPr>
                <w:p w:rsidR="009E5567" w:rsidRPr="005D2402" w:rsidRDefault="009E5567" w:rsidP="009E5567">
                  <w:pPr>
                    <w:autoSpaceDE w:val="0"/>
                    <w:autoSpaceDN w:val="0"/>
                    <w:adjustRightInd w:val="0"/>
                    <w:jc w:val="both"/>
                    <w:rPr>
                      <w:rFonts w:ascii="Arial" w:hAnsi="Arial" w:cs="Arial"/>
                      <w:b/>
                      <w:bCs/>
                      <w:sz w:val="20"/>
                      <w:szCs w:val="20"/>
                    </w:rPr>
                  </w:pPr>
                  <w:r w:rsidRPr="005D2402">
                    <w:rPr>
                      <w:rFonts w:ascii="Arial" w:hAnsi="Arial" w:cs="Arial"/>
                      <w:b/>
                      <w:bCs/>
                      <w:sz w:val="20"/>
                      <w:szCs w:val="20"/>
                    </w:rPr>
                    <w:t>SEGMENTO</w:t>
                  </w:r>
                </w:p>
              </w:tc>
              <w:tc>
                <w:tcPr>
                  <w:tcW w:w="2410" w:type="dxa"/>
                </w:tcPr>
                <w:p w:rsidR="009E5567" w:rsidRPr="005D2402" w:rsidRDefault="009E5567" w:rsidP="009E5567">
                  <w:pPr>
                    <w:rPr>
                      <w:rFonts w:ascii="Arial" w:hAnsi="Arial" w:cs="Arial"/>
                      <w:sz w:val="20"/>
                      <w:szCs w:val="20"/>
                    </w:rPr>
                  </w:pPr>
                  <w:r w:rsidRPr="005D2402">
                    <w:rPr>
                      <w:rFonts w:ascii="Arial" w:hAnsi="Arial" w:cs="Arial"/>
                      <w:sz w:val="20"/>
                      <w:szCs w:val="20"/>
                    </w:rPr>
                    <w:t>80000000</w:t>
                  </w:r>
                </w:p>
              </w:tc>
              <w:tc>
                <w:tcPr>
                  <w:tcW w:w="4252" w:type="dxa"/>
                </w:tcPr>
                <w:p w:rsidR="009E5567" w:rsidRPr="005D2402" w:rsidRDefault="009E5567" w:rsidP="009E5567">
                  <w:pPr>
                    <w:autoSpaceDE w:val="0"/>
                    <w:autoSpaceDN w:val="0"/>
                    <w:adjustRightInd w:val="0"/>
                    <w:rPr>
                      <w:rFonts w:ascii="Arial" w:hAnsi="Arial" w:cs="Arial"/>
                      <w:sz w:val="20"/>
                      <w:szCs w:val="20"/>
                    </w:rPr>
                  </w:pPr>
                  <w:r w:rsidRPr="005D2402">
                    <w:rPr>
                      <w:rFonts w:ascii="Arial" w:hAnsi="Arial" w:cs="Arial"/>
                      <w:color w:val="404040"/>
                      <w:sz w:val="20"/>
                      <w:szCs w:val="20"/>
                      <w:lang w:val="es-ES"/>
                    </w:rPr>
                    <w:t>Servicios de Gestión, Servicios Profesionales de Empresa y Servicios Administrativos</w:t>
                  </w:r>
                </w:p>
              </w:tc>
            </w:tr>
            <w:tr w:rsidR="009E5567" w:rsidRPr="005D2402" w:rsidTr="009E5567">
              <w:tc>
                <w:tcPr>
                  <w:tcW w:w="1951" w:type="dxa"/>
                </w:tcPr>
                <w:p w:rsidR="009E5567" w:rsidRPr="005D2402" w:rsidRDefault="009E5567" w:rsidP="009E5567">
                  <w:pPr>
                    <w:autoSpaceDE w:val="0"/>
                    <w:autoSpaceDN w:val="0"/>
                    <w:adjustRightInd w:val="0"/>
                    <w:jc w:val="both"/>
                    <w:rPr>
                      <w:rFonts w:ascii="Arial" w:hAnsi="Arial" w:cs="Arial"/>
                      <w:b/>
                      <w:bCs/>
                      <w:sz w:val="20"/>
                      <w:szCs w:val="20"/>
                    </w:rPr>
                  </w:pPr>
                  <w:r w:rsidRPr="005D2402">
                    <w:rPr>
                      <w:rFonts w:ascii="Arial" w:hAnsi="Arial" w:cs="Arial"/>
                      <w:b/>
                      <w:bCs/>
                      <w:sz w:val="20"/>
                      <w:szCs w:val="20"/>
                    </w:rPr>
                    <w:t>FAMILIA</w:t>
                  </w:r>
                </w:p>
              </w:tc>
              <w:tc>
                <w:tcPr>
                  <w:tcW w:w="2410" w:type="dxa"/>
                </w:tcPr>
                <w:p w:rsidR="009E5567" w:rsidRPr="005D2402" w:rsidRDefault="009E5567" w:rsidP="009E5567">
                  <w:pPr>
                    <w:rPr>
                      <w:rFonts w:ascii="Arial" w:hAnsi="Arial" w:cs="Arial"/>
                      <w:sz w:val="20"/>
                      <w:szCs w:val="20"/>
                    </w:rPr>
                  </w:pPr>
                  <w:r w:rsidRPr="005D2402">
                    <w:rPr>
                      <w:rFonts w:ascii="Arial" w:hAnsi="Arial" w:cs="Arial"/>
                      <w:sz w:val="20"/>
                      <w:szCs w:val="20"/>
                    </w:rPr>
                    <w:t>84000000</w:t>
                  </w:r>
                </w:p>
              </w:tc>
              <w:tc>
                <w:tcPr>
                  <w:tcW w:w="4252" w:type="dxa"/>
                </w:tcPr>
                <w:p w:rsidR="009E5567" w:rsidRPr="005D2402" w:rsidRDefault="009E5567" w:rsidP="009E5567">
                  <w:pPr>
                    <w:rPr>
                      <w:rFonts w:ascii="Arial" w:hAnsi="Arial" w:cs="Arial"/>
                      <w:sz w:val="20"/>
                      <w:szCs w:val="20"/>
                    </w:rPr>
                  </w:pPr>
                  <w:r w:rsidRPr="005D2402">
                    <w:rPr>
                      <w:rFonts w:ascii="Arial" w:hAnsi="Arial" w:cs="Arial"/>
                      <w:color w:val="404040"/>
                      <w:sz w:val="20"/>
                      <w:szCs w:val="20"/>
                      <w:lang w:val="es-ES"/>
                    </w:rPr>
                    <w:t>Servicios Financieros y de Seguros</w:t>
                  </w:r>
                </w:p>
              </w:tc>
            </w:tr>
            <w:tr w:rsidR="009E5567" w:rsidRPr="005D2402" w:rsidTr="009E5567">
              <w:tc>
                <w:tcPr>
                  <w:tcW w:w="1951" w:type="dxa"/>
                </w:tcPr>
                <w:p w:rsidR="009E5567" w:rsidRPr="005D2402" w:rsidRDefault="009E5567" w:rsidP="009E5567">
                  <w:pPr>
                    <w:autoSpaceDE w:val="0"/>
                    <w:autoSpaceDN w:val="0"/>
                    <w:adjustRightInd w:val="0"/>
                    <w:jc w:val="both"/>
                    <w:rPr>
                      <w:rFonts w:ascii="Arial" w:hAnsi="Arial" w:cs="Arial"/>
                      <w:b/>
                      <w:bCs/>
                      <w:sz w:val="20"/>
                      <w:szCs w:val="20"/>
                    </w:rPr>
                  </w:pPr>
                  <w:r w:rsidRPr="005D2402">
                    <w:rPr>
                      <w:rFonts w:ascii="Arial" w:hAnsi="Arial" w:cs="Arial"/>
                      <w:b/>
                      <w:bCs/>
                      <w:sz w:val="20"/>
                      <w:szCs w:val="20"/>
                    </w:rPr>
                    <w:t>CLASE</w:t>
                  </w:r>
                </w:p>
              </w:tc>
              <w:tc>
                <w:tcPr>
                  <w:tcW w:w="2410" w:type="dxa"/>
                </w:tcPr>
                <w:p w:rsidR="009E5567" w:rsidRPr="005D2402" w:rsidRDefault="009E5567" w:rsidP="009E5567">
                  <w:pPr>
                    <w:autoSpaceDE w:val="0"/>
                    <w:autoSpaceDN w:val="0"/>
                    <w:adjustRightInd w:val="0"/>
                    <w:jc w:val="both"/>
                    <w:rPr>
                      <w:rFonts w:ascii="Arial" w:hAnsi="Arial" w:cs="Arial"/>
                      <w:sz w:val="20"/>
                      <w:szCs w:val="20"/>
                    </w:rPr>
                  </w:pPr>
                  <w:r w:rsidRPr="005D2402">
                    <w:rPr>
                      <w:rFonts w:ascii="Arial" w:hAnsi="Arial" w:cs="Arial"/>
                      <w:color w:val="404040"/>
                      <w:sz w:val="20"/>
                      <w:szCs w:val="20"/>
                      <w:lang w:val="es-ES"/>
                    </w:rPr>
                    <w:t>84130000</w:t>
                  </w:r>
                </w:p>
              </w:tc>
              <w:tc>
                <w:tcPr>
                  <w:tcW w:w="4252" w:type="dxa"/>
                </w:tcPr>
                <w:p w:rsidR="009E5567" w:rsidRPr="005D2402" w:rsidRDefault="009E5567" w:rsidP="009E5567">
                  <w:pPr>
                    <w:autoSpaceDE w:val="0"/>
                    <w:autoSpaceDN w:val="0"/>
                    <w:adjustRightInd w:val="0"/>
                    <w:jc w:val="both"/>
                    <w:rPr>
                      <w:rFonts w:ascii="Arial" w:hAnsi="Arial" w:cs="Arial"/>
                      <w:sz w:val="20"/>
                      <w:szCs w:val="20"/>
                    </w:rPr>
                  </w:pPr>
                  <w:r w:rsidRPr="005D2402">
                    <w:rPr>
                      <w:rFonts w:ascii="Arial" w:hAnsi="Arial" w:cs="Arial"/>
                      <w:color w:val="404040"/>
                      <w:sz w:val="20"/>
                      <w:szCs w:val="20"/>
                      <w:lang w:val="es-ES"/>
                    </w:rPr>
                    <w:t>Servicios de seguros y pensiones</w:t>
                  </w:r>
                </w:p>
              </w:tc>
            </w:tr>
            <w:tr w:rsidR="009E5567" w:rsidRPr="005D2402" w:rsidTr="009E5567">
              <w:trPr>
                <w:trHeight w:val="397"/>
              </w:trPr>
              <w:tc>
                <w:tcPr>
                  <w:tcW w:w="1951" w:type="dxa"/>
                </w:tcPr>
                <w:p w:rsidR="009E5567" w:rsidRPr="005D2402" w:rsidRDefault="009E5567" w:rsidP="009E5567">
                  <w:pPr>
                    <w:autoSpaceDE w:val="0"/>
                    <w:autoSpaceDN w:val="0"/>
                    <w:adjustRightInd w:val="0"/>
                    <w:jc w:val="both"/>
                    <w:rPr>
                      <w:rFonts w:ascii="Arial" w:hAnsi="Arial" w:cs="Arial"/>
                      <w:b/>
                      <w:bCs/>
                      <w:sz w:val="20"/>
                      <w:szCs w:val="20"/>
                    </w:rPr>
                  </w:pPr>
                  <w:r w:rsidRPr="005D2402">
                    <w:rPr>
                      <w:rFonts w:ascii="Arial" w:hAnsi="Arial" w:cs="Arial"/>
                      <w:b/>
                      <w:bCs/>
                      <w:sz w:val="20"/>
                      <w:szCs w:val="20"/>
                    </w:rPr>
                    <w:t>PRODUCTO</w:t>
                  </w:r>
                </w:p>
              </w:tc>
              <w:tc>
                <w:tcPr>
                  <w:tcW w:w="2410" w:type="dxa"/>
                </w:tcPr>
                <w:p w:rsidR="009E5567" w:rsidRPr="005D2402" w:rsidRDefault="009E5567" w:rsidP="009E5567">
                  <w:pPr>
                    <w:autoSpaceDE w:val="0"/>
                    <w:autoSpaceDN w:val="0"/>
                    <w:adjustRightInd w:val="0"/>
                    <w:jc w:val="both"/>
                    <w:rPr>
                      <w:rFonts w:ascii="Arial" w:hAnsi="Arial" w:cs="Arial"/>
                      <w:sz w:val="20"/>
                      <w:szCs w:val="20"/>
                    </w:rPr>
                  </w:pPr>
                  <w:r w:rsidRPr="005D2402">
                    <w:rPr>
                      <w:rFonts w:ascii="Arial" w:hAnsi="Arial" w:cs="Arial"/>
                      <w:sz w:val="20"/>
                      <w:szCs w:val="20"/>
                      <w:lang w:val="es-ES"/>
                    </w:rPr>
                    <w:t>84131603</w:t>
                  </w:r>
                </w:p>
              </w:tc>
              <w:tc>
                <w:tcPr>
                  <w:tcW w:w="4252" w:type="dxa"/>
                </w:tcPr>
                <w:p w:rsidR="009E5567" w:rsidRPr="005D2402" w:rsidRDefault="009E5567" w:rsidP="009E5567">
                  <w:pPr>
                    <w:autoSpaceDE w:val="0"/>
                    <w:autoSpaceDN w:val="0"/>
                    <w:adjustRightInd w:val="0"/>
                    <w:rPr>
                      <w:rFonts w:ascii="Arial" w:hAnsi="Arial" w:cs="Arial"/>
                      <w:sz w:val="20"/>
                      <w:szCs w:val="20"/>
                    </w:rPr>
                  </w:pPr>
                  <w:r w:rsidRPr="005D2402">
                    <w:rPr>
                      <w:rFonts w:ascii="Arial" w:hAnsi="Arial" w:cs="Arial"/>
                      <w:color w:val="404040"/>
                      <w:sz w:val="20"/>
                      <w:szCs w:val="20"/>
                      <w:lang w:val="es-ES"/>
                    </w:rPr>
                    <w:t>Seguros de daños personales por accidente</w:t>
                  </w:r>
                </w:p>
              </w:tc>
            </w:tr>
          </w:tbl>
          <w:p w:rsidR="002623DF" w:rsidRPr="005D2402" w:rsidRDefault="002623DF" w:rsidP="00D015EE">
            <w:pPr>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bCs/>
                <w:sz w:val="20"/>
                <w:szCs w:val="20"/>
              </w:rPr>
              <w:t>4.</w:t>
            </w:r>
            <w:r w:rsidRPr="005D2402">
              <w:rPr>
                <w:rFonts w:ascii="Arial" w:hAnsi="Arial" w:cs="Arial"/>
                <w:bCs/>
                <w:sz w:val="20"/>
                <w:szCs w:val="20"/>
              </w:rPr>
              <w:tab/>
            </w:r>
            <w:r w:rsidRPr="005D2402">
              <w:rPr>
                <w:rFonts w:ascii="Arial" w:hAnsi="Arial" w:cs="Arial"/>
                <w:sz w:val="20"/>
                <w:szCs w:val="20"/>
              </w:rPr>
              <w:t>ACTIVIDADES Y/O OBLIGACIONES:</w:t>
            </w:r>
          </w:p>
          <w:p w:rsidR="002623DF" w:rsidRPr="005D2402" w:rsidRDefault="002623DF" w:rsidP="00D015EE">
            <w:pPr>
              <w:autoSpaceDE w:val="0"/>
              <w:autoSpaceDN w:val="0"/>
              <w:adjustRightInd w:val="0"/>
              <w:jc w:val="both"/>
              <w:rPr>
                <w:rFonts w:ascii="Arial" w:hAnsi="Arial" w:cs="Arial"/>
                <w:sz w:val="20"/>
                <w:szCs w:val="20"/>
              </w:rPr>
            </w:pPr>
          </w:p>
          <w:p w:rsidR="009E5567" w:rsidRPr="005D2402" w:rsidRDefault="009E5567" w:rsidP="009E5567">
            <w:pPr>
              <w:jc w:val="both"/>
              <w:rPr>
                <w:rFonts w:ascii="Arial" w:hAnsi="Arial" w:cs="Arial"/>
                <w:sz w:val="20"/>
                <w:szCs w:val="20"/>
              </w:rPr>
            </w:pPr>
            <w:r w:rsidRPr="005D2402">
              <w:rPr>
                <w:rFonts w:ascii="Arial" w:hAnsi="Arial" w:cs="Arial"/>
                <w:sz w:val="20"/>
                <w:szCs w:val="20"/>
              </w:rPr>
              <w:t xml:space="preserve">En desarrollo del objeto contractual, el contratista se obliga a: </w:t>
            </w:r>
          </w:p>
          <w:p w:rsidR="009E5567" w:rsidRPr="005D2402" w:rsidRDefault="009E5567" w:rsidP="009E5567">
            <w:pPr>
              <w:jc w:val="both"/>
              <w:rPr>
                <w:rFonts w:ascii="Arial" w:hAnsi="Arial" w:cs="Arial"/>
                <w:sz w:val="20"/>
                <w:szCs w:val="20"/>
              </w:rPr>
            </w:pPr>
          </w:p>
          <w:p w:rsidR="009E5567" w:rsidRPr="005D2402" w:rsidRDefault="009E5567" w:rsidP="009E5567">
            <w:pPr>
              <w:jc w:val="both"/>
              <w:rPr>
                <w:rFonts w:ascii="Arial" w:hAnsi="Arial" w:cs="Arial"/>
                <w:sz w:val="20"/>
                <w:szCs w:val="20"/>
              </w:rPr>
            </w:pPr>
            <w:r w:rsidRPr="005D2402">
              <w:rPr>
                <w:rFonts w:ascii="Arial" w:hAnsi="Arial" w:cs="Arial"/>
                <w:sz w:val="20"/>
                <w:szCs w:val="20"/>
              </w:rPr>
              <w:t>ACTIVIDADES:</w:t>
            </w:r>
          </w:p>
          <w:p w:rsidR="009E5567" w:rsidRPr="005D2402" w:rsidRDefault="009E5567" w:rsidP="009E5567">
            <w:pPr>
              <w:jc w:val="both"/>
              <w:rPr>
                <w:rFonts w:ascii="Arial" w:hAnsi="Arial" w:cs="Arial"/>
                <w:sz w:val="20"/>
                <w:szCs w:val="20"/>
              </w:rPr>
            </w:pPr>
          </w:p>
          <w:p w:rsidR="009E5567" w:rsidRPr="005D2402" w:rsidRDefault="009E5567" w:rsidP="009E5567">
            <w:pPr>
              <w:pStyle w:val="Prrafodelista"/>
              <w:numPr>
                <w:ilvl w:val="0"/>
                <w:numId w:val="15"/>
              </w:numPr>
              <w:spacing w:after="200"/>
              <w:contextualSpacing/>
              <w:jc w:val="both"/>
              <w:rPr>
                <w:rFonts w:ascii="Arial" w:hAnsi="Arial" w:cs="Arial"/>
                <w:sz w:val="20"/>
                <w:szCs w:val="20"/>
              </w:rPr>
            </w:pPr>
            <w:r w:rsidRPr="005D2402">
              <w:rPr>
                <w:rFonts w:ascii="Arial" w:hAnsi="Arial" w:cs="Arial"/>
                <w:sz w:val="20"/>
                <w:szCs w:val="20"/>
              </w:rPr>
              <w:t>Expedir los Seguros Obligatorios de Accidentes de Tránsito SOAT para los vehículos pertenecientes al parque automotor de la Personería de Itagüí.</w:t>
            </w:r>
          </w:p>
          <w:p w:rsidR="009E5567" w:rsidRPr="005D2402" w:rsidRDefault="009E5567" w:rsidP="009E5567">
            <w:pPr>
              <w:spacing w:after="200"/>
              <w:contextualSpacing/>
              <w:jc w:val="both"/>
              <w:rPr>
                <w:rFonts w:ascii="Arial" w:hAnsi="Arial" w:cs="Arial"/>
                <w:sz w:val="20"/>
                <w:szCs w:val="20"/>
              </w:rPr>
            </w:pPr>
            <w:r w:rsidRPr="005D2402">
              <w:rPr>
                <w:rFonts w:ascii="Arial" w:hAnsi="Arial" w:cs="Arial"/>
                <w:sz w:val="20"/>
                <w:szCs w:val="20"/>
              </w:rPr>
              <w:t>OBLIGACIONES:</w:t>
            </w:r>
          </w:p>
          <w:p w:rsidR="009E5567" w:rsidRPr="005D2402" w:rsidRDefault="009E5567" w:rsidP="009E5567">
            <w:pPr>
              <w:pStyle w:val="Prrafodelista"/>
              <w:numPr>
                <w:ilvl w:val="0"/>
                <w:numId w:val="15"/>
              </w:numPr>
              <w:spacing w:after="200"/>
              <w:contextualSpacing/>
              <w:jc w:val="both"/>
              <w:rPr>
                <w:rFonts w:ascii="Arial" w:hAnsi="Arial" w:cs="Arial"/>
                <w:sz w:val="20"/>
                <w:szCs w:val="20"/>
              </w:rPr>
            </w:pPr>
            <w:r w:rsidRPr="005D2402">
              <w:rPr>
                <w:rFonts w:ascii="Arial" w:hAnsi="Arial" w:cs="Arial"/>
                <w:sz w:val="20"/>
                <w:szCs w:val="20"/>
              </w:rPr>
              <w:t>Garantizar que las respectivas pólizas sean acordes a los requerimientos legales y a las características técnicas de los vehículos.</w:t>
            </w:r>
          </w:p>
          <w:p w:rsidR="009E5567" w:rsidRPr="005D2402" w:rsidRDefault="009E5567" w:rsidP="009E5567">
            <w:pPr>
              <w:pStyle w:val="Prrafodelista"/>
              <w:numPr>
                <w:ilvl w:val="0"/>
                <w:numId w:val="15"/>
              </w:numPr>
              <w:spacing w:after="200"/>
              <w:contextualSpacing/>
              <w:jc w:val="both"/>
              <w:rPr>
                <w:rFonts w:ascii="Arial" w:hAnsi="Arial" w:cs="Arial"/>
                <w:sz w:val="20"/>
                <w:szCs w:val="20"/>
              </w:rPr>
            </w:pPr>
            <w:r w:rsidRPr="005D2402">
              <w:rPr>
                <w:rFonts w:ascii="Arial" w:hAnsi="Arial" w:cs="Arial"/>
                <w:sz w:val="20"/>
                <w:szCs w:val="20"/>
              </w:rPr>
              <w:t>Garantizar que la vigencia de las pólizas sean como mínimo de un (1) año a partir de la fecha de expedición de los SOAT objeto del contrato.</w:t>
            </w:r>
          </w:p>
          <w:p w:rsidR="009E5567" w:rsidRPr="005D2402" w:rsidRDefault="009E5567" w:rsidP="009E5567">
            <w:pPr>
              <w:pStyle w:val="Prrafodelista"/>
              <w:numPr>
                <w:ilvl w:val="0"/>
                <w:numId w:val="15"/>
              </w:numPr>
              <w:spacing w:after="200"/>
              <w:contextualSpacing/>
              <w:jc w:val="both"/>
              <w:rPr>
                <w:rFonts w:ascii="Arial" w:hAnsi="Arial" w:cs="Arial"/>
                <w:sz w:val="20"/>
                <w:szCs w:val="20"/>
              </w:rPr>
            </w:pPr>
            <w:r w:rsidRPr="005D2402">
              <w:rPr>
                <w:rFonts w:ascii="Arial" w:hAnsi="Arial" w:cs="Arial"/>
                <w:sz w:val="20"/>
                <w:szCs w:val="20"/>
              </w:rPr>
              <w:t>Aceptar los procedimientos administrativos que determine la Personería Municipal para la ejecución del contrato.</w:t>
            </w:r>
          </w:p>
          <w:p w:rsidR="009E5567" w:rsidRPr="005D2402" w:rsidRDefault="009E5567" w:rsidP="009E5567">
            <w:pPr>
              <w:pStyle w:val="Prrafodelista"/>
              <w:spacing w:after="200"/>
              <w:ind w:left="720"/>
              <w:contextualSpacing/>
              <w:jc w:val="both"/>
              <w:rPr>
                <w:rFonts w:ascii="Arial" w:hAnsi="Arial" w:cs="Arial"/>
                <w:sz w:val="20"/>
                <w:szCs w:val="20"/>
              </w:rPr>
            </w:pPr>
          </w:p>
          <w:p w:rsidR="009E5567" w:rsidRPr="005D2402" w:rsidRDefault="009E5567" w:rsidP="009E5567">
            <w:pPr>
              <w:pStyle w:val="Textoindependiente2"/>
              <w:spacing w:after="0" w:line="240" w:lineRule="auto"/>
              <w:rPr>
                <w:rFonts w:ascii="Arial" w:hAnsi="Arial" w:cs="Arial"/>
                <w:b/>
                <w:sz w:val="20"/>
                <w:szCs w:val="20"/>
              </w:rPr>
            </w:pPr>
            <w:r w:rsidRPr="005D2402">
              <w:rPr>
                <w:rFonts w:ascii="Arial" w:hAnsi="Arial" w:cs="Arial"/>
                <w:b/>
                <w:sz w:val="20"/>
                <w:szCs w:val="20"/>
              </w:rPr>
              <w:t>PRODUCTOS A ENTREGAR POR EL CONTRATISTA</w:t>
            </w:r>
          </w:p>
          <w:p w:rsidR="009E5567" w:rsidRPr="005D2402" w:rsidRDefault="009E5567" w:rsidP="009E5567">
            <w:pPr>
              <w:pStyle w:val="Textoindependiente2"/>
              <w:spacing w:after="0" w:line="240" w:lineRule="auto"/>
              <w:rPr>
                <w:rFonts w:ascii="Arial" w:hAnsi="Arial" w:cs="Arial"/>
                <w:b/>
                <w:sz w:val="20"/>
                <w:szCs w:val="20"/>
              </w:rPr>
            </w:pPr>
          </w:p>
          <w:p w:rsidR="009E5567" w:rsidRPr="005D2402" w:rsidRDefault="009E5567" w:rsidP="009E5567">
            <w:pPr>
              <w:numPr>
                <w:ilvl w:val="0"/>
                <w:numId w:val="16"/>
              </w:numPr>
              <w:contextualSpacing/>
              <w:jc w:val="both"/>
              <w:rPr>
                <w:rFonts w:ascii="Arial" w:hAnsi="Arial" w:cs="Arial"/>
                <w:color w:val="000000"/>
                <w:sz w:val="20"/>
                <w:szCs w:val="20"/>
              </w:rPr>
            </w:pPr>
            <w:r w:rsidRPr="005D2402">
              <w:rPr>
                <w:rFonts w:ascii="Arial" w:hAnsi="Arial" w:cs="Arial"/>
                <w:sz w:val="20"/>
                <w:szCs w:val="20"/>
                <w:lang w:val="es-ES_tradnl"/>
              </w:rPr>
              <w:t>Entregar los SOAT de cada vehículo según las fechas de vencimiento de las pólizas.</w:t>
            </w:r>
          </w:p>
          <w:p w:rsidR="009E5567" w:rsidRPr="005D2402" w:rsidRDefault="009E5567" w:rsidP="009E5567">
            <w:pPr>
              <w:autoSpaceDE w:val="0"/>
              <w:autoSpaceDN w:val="0"/>
              <w:adjustRightInd w:val="0"/>
              <w:jc w:val="both"/>
              <w:rPr>
                <w:rFonts w:ascii="Arial" w:hAnsi="Arial" w:cs="Arial"/>
                <w:b/>
                <w:sz w:val="20"/>
                <w:szCs w:val="20"/>
                <w:lang w:bidi="en-US"/>
              </w:rPr>
            </w:pPr>
          </w:p>
          <w:p w:rsidR="009E5567" w:rsidRPr="005D2402" w:rsidRDefault="009E5567" w:rsidP="009E5567">
            <w:pPr>
              <w:autoSpaceDE w:val="0"/>
              <w:autoSpaceDN w:val="0"/>
              <w:adjustRightInd w:val="0"/>
              <w:jc w:val="both"/>
              <w:rPr>
                <w:rFonts w:ascii="Arial" w:hAnsi="Arial" w:cs="Arial"/>
                <w:b/>
                <w:sz w:val="20"/>
                <w:szCs w:val="20"/>
                <w:lang w:bidi="en-US"/>
              </w:rPr>
            </w:pPr>
            <w:r w:rsidRPr="005D2402">
              <w:rPr>
                <w:rFonts w:ascii="Arial" w:hAnsi="Arial" w:cs="Arial"/>
                <w:b/>
                <w:sz w:val="20"/>
                <w:szCs w:val="20"/>
                <w:lang w:bidi="en-US"/>
              </w:rPr>
              <w:t>OBLIGACIONES DE LA PERSONERIA MUNICIPAL</w:t>
            </w:r>
          </w:p>
          <w:p w:rsidR="009E5567" w:rsidRPr="005D2402" w:rsidRDefault="009E5567" w:rsidP="009E5567">
            <w:pPr>
              <w:autoSpaceDE w:val="0"/>
              <w:autoSpaceDN w:val="0"/>
              <w:adjustRightInd w:val="0"/>
              <w:jc w:val="both"/>
              <w:rPr>
                <w:rFonts w:ascii="Arial" w:hAnsi="Arial" w:cs="Arial"/>
                <w:b/>
                <w:sz w:val="20"/>
                <w:szCs w:val="20"/>
                <w:lang w:bidi="en-US"/>
              </w:rPr>
            </w:pPr>
          </w:p>
          <w:p w:rsidR="009E5567" w:rsidRPr="005D2402" w:rsidRDefault="009E5567" w:rsidP="009E5567">
            <w:pPr>
              <w:pStyle w:val="Prrafodelista"/>
              <w:numPr>
                <w:ilvl w:val="0"/>
                <w:numId w:val="4"/>
              </w:numPr>
              <w:contextualSpacing/>
              <w:jc w:val="both"/>
              <w:rPr>
                <w:rFonts w:ascii="Arial" w:hAnsi="Arial" w:cs="Arial"/>
                <w:b/>
                <w:sz w:val="20"/>
                <w:szCs w:val="20"/>
                <w:lang w:val="es-ES"/>
              </w:rPr>
            </w:pPr>
            <w:r w:rsidRPr="005D2402">
              <w:rPr>
                <w:rFonts w:ascii="Arial" w:hAnsi="Arial" w:cs="Arial"/>
                <w:sz w:val="20"/>
                <w:szCs w:val="20"/>
                <w:lang w:val="es-ES"/>
              </w:rPr>
              <w:t>Ordenar el pago oportunamente al Contratista, previa presentación de la documentación requerida.</w:t>
            </w:r>
          </w:p>
          <w:p w:rsidR="009E5567" w:rsidRPr="005D2402" w:rsidRDefault="009E5567" w:rsidP="009E5567">
            <w:pPr>
              <w:pStyle w:val="Prrafodelista"/>
              <w:numPr>
                <w:ilvl w:val="0"/>
                <w:numId w:val="4"/>
              </w:numPr>
              <w:contextualSpacing/>
              <w:jc w:val="both"/>
              <w:rPr>
                <w:rFonts w:ascii="Arial" w:hAnsi="Arial" w:cs="Arial"/>
                <w:b/>
                <w:sz w:val="20"/>
                <w:szCs w:val="20"/>
                <w:lang w:val="es-ES"/>
              </w:rPr>
            </w:pPr>
            <w:r w:rsidRPr="005D2402">
              <w:rPr>
                <w:rFonts w:ascii="Arial" w:hAnsi="Arial" w:cs="Arial"/>
                <w:sz w:val="20"/>
                <w:szCs w:val="20"/>
                <w:lang w:val="es-ES"/>
              </w:rPr>
              <w:t>Entregar al Contratista la información requerida para el cumplimiento de las obligaciones del presente contrato.</w:t>
            </w:r>
          </w:p>
          <w:p w:rsidR="009E5567" w:rsidRPr="005D2402" w:rsidRDefault="009E5567" w:rsidP="009E5567">
            <w:pPr>
              <w:pStyle w:val="Prrafodelista"/>
              <w:numPr>
                <w:ilvl w:val="0"/>
                <w:numId w:val="4"/>
              </w:numPr>
              <w:contextualSpacing/>
              <w:jc w:val="both"/>
              <w:rPr>
                <w:rFonts w:ascii="Arial" w:hAnsi="Arial" w:cs="Arial"/>
                <w:b/>
                <w:sz w:val="20"/>
                <w:szCs w:val="20"/>
                <w:lang w:val="es-ES"/>
              </w:rPr>
            </w:pPr>
            <w:r w:rsidRPr="005D2402">
              <w:rPr>
                <w:rFonts w:ascii="Arial" w:hAnsi="Arial" w:cs="Arial"/>
                <w:sz w:val="20"/>
                <w:szCs w:val="20"/>
                <w:lang w:val="es-ES"/>
              </w:rPr>
              <w:t>Proveer las condiciones de apoyo necesarias para la adecuada realización de las actividades relacionadas con el objeto del contrato.</w:t>
            </w:r>
          </w:p>
          <w:p w:rsidR="002623DF" w:rsidRPr="005D2402" w:rsidRDefault="002623DF" w:rsidP="009E5567">
            <w:pPr>
              <w:pStyle w:val="Prrafodelista"/>
              <w:autoSpaceDE w:val="0"/>
              <w:autoSpaceDN w:val="0"/>
              <w:adjustRightInd w:val="0"/>
              <w:ind w:left="720"/>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5.</w:t>
            </w:r>
            <w:r w:rsidRPr="005D2402">
              <w:rPr>
                <w:rFonts w:ascii="Arial" w:hAnsi="Arial" w:cs="Arial"/>
                <w:sz w:val="20"/>
                <w:szCs w:val="20"/>
              </w:rPr>
              <w:tab/>
              <w:t>PLAZO DEL CONTRATO:</w:t>
            </w:r>
          </w:p>
          <w:p w:rsidR="002623DF" w:rsidRPr="005D2402" w:rsidRDefault="002623DF" w:rsidP="00D015EE">
            <w:pPr>
              <w:autoSpaceDE w:val="0"/>
              <w:autoSpaceDN w:val="0"/>
              <w:adjustRightInd w:val="0"/>
              <w:jc w:val="both"/>
              <w:rPr>
                <w:rFonts w:ascii="Arial" w:hAnsi="Arial" w:cs="Arial"/>
                <w:sz w:val="20"/>
                <w:szCs w:val="20"/>
              </w:rPr>
            </w:pPr>
          </w:p>
          <w:p w:rsidR="009E5567" w:rsidRPr="005D2402" w:rsidRDefault="009E5567" w:rsidP="009E5567">
            <w:pPr>
              <w:autoSpaceDE w:val="0"/>
              <w:autoSpaceDN w:val="0"/>
              <w:adjustRightInd w:val="0"/>
              <w:jc w:val="both"/>
              <w:rPr>
                <w:rFonts w:ascii="Arial" w:hAnsi="Arial" w:cs="Arial"/>
                <w:color w:val="000000"/>
                <w:sz w:val="20"/>
                <w:szCs w:val="20"/>
              </w:rPr>
            </w:pPr>
            <w:r w:rsidRPr="005D2402">
              <w:rPr>
                <w:rFonts w:ascii="Arial" w:hAnsi="Arial" w:cs="Arial"/>
                <w:color w:val="000000"/>
                <w:sz w:val="20"/>
                <w:szCs w:val="20"/>
              </w:rPr>
              <w:t>A partir del acta de inicio suscrita entre el contratista y el supervisor designado y hasta el vencimiento de la última póliza de los vehículos del parque automotor de la Personería Municipal durante el año 2022.</w:t>
            </w:r>
          </w:p>
          <w:p w:rsidR="002623DF" w:rsidRPr="005D2402" w:rsidRDefault="002623DF" w:rsidP="00D015EE">
            <w:pPr>
              <w:autoSpaceDE w:val="0"/>
              <w:autoSpaceDN w:val="0"/>
              <w:adjustRightInd w:val="0"/>
              <w:jc w:val="both"/>
              <w:rPr>
                <w:rFonts w:ascii="Arial" w:hAnsi="Arial" w:cs="Arial"/>
                <w:bCs/>
                <w:sz w:val="20"/>
                <w:szCs w:val="20"/>
              </w:rPr>
            </w:pP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6.</w:t>
            </w:r>
            <w:r w:rsidRPr="005D2402">
              <w:rPr>
                <w:rFonts w:ascii="Arial" w:hAnsi="Arial" w:cs="Arial"/>
                <w:sz w:val="20"/>
                <w:szCs w:val="20"/>
              </w:rPr>
              <w:tab/>
              <w:t>LUGAR DE EJECUCIÓN DEL CONTRATO:</w:t>
            </w:r>
          </w:p>
          <w:p w:rsidR="002623DF" w:rsidRPr="005D2402" w:rsidRDefault="002623DF" w:rsidP="00D015EE">
            <w:pPr>
              <w:autoSpaceDE w:val="0"/>
              <w:autoSpaceDN w:val="0"/>
              <w:adjustRightInd w:val="0"/>
              <w:jc w:val="both"/>
              <w:rPr>
                <w:rFonts w:ascii="Arial" w:hAnsi="Arial" w:cs="Arial"/>
                <w:sz w:val="20"/>
                <w:szCs w:val="20"/>
              </w:rPr>
            </w:pPr>
          </w:p>
          <w:p w:rsidR="002623DF" w:rsidRPr="005D2402" w:rsidRDefault="009E5567" w:rsidP="009E5567">
            <w:pPr>
              <w:pStyle w:val="Default"/>
              <w:rPr>
                <w:sz w:val="20"/>
                <w:szCs w:val="20"/>
              </w:rPr>
            </w:pPr>
            <w:r w:rsidRPr="005D2402">
              <w:rPr>
                <w:bCs/>
                <w:sz w:val="20"/>
                <w:szCs w:val="20"/>
                <w:lang w:val="es-CO"/>
              </w:rPr>
              <w:t>Instalaciones de la Personería Municipal de Itagüí</w:t>
            </w: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7.</w:t>
            </w:r>
            <w:r w:rsidRPr="005D2402">
              <w:rPr>
                <w:rFonts w:ascii="Arial" w:hAnsi="Arial" w:cs="Arial"/>
                <w:sz w:val="20"/>
                <w:szCs w:val="20"/>
              </w:rPr>
              <w:tab/>
              <w:t>IDENTIFICACIÓN DEL CONTRATO A CELEBRAR:</w:t>
            </w:r>
          </w:p>
          <w:p w:rsidR="002623DF" w:rsidRPr="005D2402" w:rsidRDefault="002623DF" w:rsidP="00D015EE">
            <w:pPr>
              <w:autoSpaceDE w:val="0"/>
              <w:autoSpaceDN w:val="0"/>
              <w:adjustRightInd w:val="0"/>
              <w:jc w:val="both"/>
              <w:rPr>
                <w:rFonts w:ascii="Arial" w:hAnsi="Arial" w:cs="Arial"/>
                <w:sz w:val="20"/>
                <w:szCs w:val="20"/>
              </w:rPr>
            </w:pPr>
          </w:p>
          <w:p w:rsidR="002623DF" w:rsidRPr="005D2402" w:rsidRDefault="009C428E" w:rsidP="009C428E">
            <w:pPr>
              <w:jc w:val="both"/>
              <w:rPr>
                <w:rFonts w:ascii="Arial" w:hAnsi="Arial" w:cs="Arial"/>
                <w:sz w:val="20"/>
                <w:szCs w:val="20"/>
              </w:rPr>
            </w:pPr>
            <w:r w:rsidRPr="005D2402">
              <w:rPr>
                <w:rFonts w:ascii="Arial" w:hAnsi="Arial" w:cs="Arial"/>
                <w:sz w:val="20"/>
                <w:szCs w:val="20"/>
              </w:rPr>
              <w:lastRenderedPageBreak/>
              <w:t>Dadas las características del objeto contractual, el contrato a celebrar es de suministro conforme con lo dispuesto en el Estatuto General de Contratación de la Administración Pública, Ley 80 de 1993, y normas concordantes.</w:t>
            </w:r>
          </w:p>
          <w:p w:rsidR="002623DF" w:rsidRPr="005D2402" w:rsidRDefault="002623DF" w:rsidP="00D015EE">
            <w:pPr>
              <w:autoSpaceDE w:val="0"/>
              <w:autoSpaceDN w:val="0"/>
              <w:adjustRightInd w:val="0"/>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lastRenderedPageBreak/>
              <w:t>8.</w:t>
            </w:r>
            <w:r w:rsidRPr="005D2402">
              <w:rPr>
                <w:rFonts w:ascii="Arial" w:hAnsi="Arial" w:cs="Arial"/>
                <w:sz w:val="20"/>
                <w:szCs w:val="20"/>
              </w:rPr>
              <w:tab/>
              <w:t xml:space="preserve">FUNDAMENTOS JURÍDICOS QUE SOPORTAN LA MODALIDAD DE SELECCIÓN:  ( </w:t>
            </w:r>
          </w:p>
          <w:p w:rsidR="002623DF" w:rsidRPr="005D2402" w:rsidRDefault="002623DF" w:rsidP="00D015EE">
            <w:pPr>
              <w:autoSpaceDE w:val="0"/>
              <w:autoSpaceDN w:val="0"/>
              <w:adjustRightInd w:val="0"/>
              <w:jc w:val="both"/>
              <w:rPr>
                <w:rFonts w:ascii="Arial" w:hAnsi="Arial" w:cs="Arial"/>
                <w:sz w:val="20"/>
                <w:szCs w:val="20"/>
              </w:rPr>
            </w:pPr>
          </w:p>
          <w:p w:rsidR="009C428E" w:rsidRPr="005D2402" w:rsidRDefault="009C428E" w:rsidP="009C428E">
            <w:pPr>
              <w:pStyle w:val="Default"/>
              <w:jc w:val="both"/>
              <w:rPr>
                <w:sz w:val="20"/>
                <w:szCs w:val="20"/>
              </w:rPr>
            </w:pPr>
            <w:r w:rsidRPr="005D2402">
              <w:rPr>
                <w:sz w:val="20"/>
                <w:szCs w:val="20"/>
              </w:rPr>
              <w:t xml:space="preserve">El presente estudio se hace bajo la modalidad de mínima cuantía aplicable a la contratación cuyo valor no excede del 10% de la menor cuantía de la entidad, independientemente de su objeto. Ley 80 de 1993, Ley 1150 de 2007, Ley1474 de 2011, artículo 94, </w:t>
            </w:r>
            <w:proofErr w:type="spellStart"/>
            <w:r w:rsidRPr="005D2402">
              <w:rPr>
                <w:sz w:val="20"/>
                <w:szCs w:val="20"/>
              </w:rPr>
              <w:t>Subsección</w:t>
            </w:r>
            <w:proofErr w:type="spellEnd"/>
            <w:r w:rsidRPr="005D2402">
              <w:rPr>
                <w:sz w:val="20"/>
                <w:szCs w:val="20"/>
              </w:rPr>
              <w:t xml:space="preserve"> 5ª – Mínima Cuantía – Decreto 1082 de 2015.</w:t>
            </w:r>
          </w:p>
          <w:p w:rsidR="002623DF" w:rsidRPr="005D2402" w:rsidRDefault="002623DF" w:rsidP="00D015EE">
            <w:pPr>
              <w:pStyle w:val="Default"/>
              <w:jc w:val="both"/>
              <w:rPr>
                <w:sz w:val="20"/>
                <w:szCs w:val="20"/>
              </w:rPr>
            </w:pP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9.</w:t>
            </w:r>
            <w:r w:rsidRPr="005D2402">
              <w:rPr>
                <w:rFonts w:ascii="Arial" w:hAnsi="Arial" w:cs="Arial"/>
                <w:sz w:val="20"/>
                <w:szCs w:val="20"/>
              </w:rPr>
              <w:tab/>
              <w:t>SUPERVISION DEL CONTRATO:</w:t>
            </w:r>
          </w:p>
          <w:p w:rsidR="002623DF" w:rsidRPr="005D2402" w:rsidRDefault="002623DF" w:rsidP="00D015EE">
            <w:pPr>
              <w:autoSpaceDE w:val="0"/>
              <w:autoSpaceDN w:val="0"/>
              <w:adjustRightInd w:val="0"/>
              <w:jc w:val="both"/>
              <w:rPr>
                <w:rFonts w:ascii="Arial" w:hAnsi="Arial" w:cs="Arial"/>
                <w:sz w:val="20"/>
                <w:szCs w:val="20"/>
              </w:rPr>
            </w:pPr>
          </w:p>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 xml:space="preserve">La Supervisión de este contrato estará a cargo del Personero o a quien el Personero delegue, </w:t>
            </w:r>
            <w:r w:rsidRPr="005D2402">
              <w:rPr>
                <w:rFonts w:ascii="Arial" w:hAnsi="Arial" w:cs="Arial"/>
                <w:sz w:val="20"/>
                <w:szCs w:val="20"/>
                <w:lang w:val="es-ES_tradnl"/>
              </w:rPr>
              <w:t>conforme a lo dispuesto en las Leyes 80 de 1993, 1150 de 2007 y 1474 de 2011.</w:t>
            </w: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eastAsiaTheme="minorEastAsia" w:hAnsi="Arial" w:cs="Arial"/>
                <w:sz w:val="20"/>
                <w:szCs w:val="20"/>
              </w:rPr>
            </w:pPr>
            <w:r w:rsidRPr="005D2402">
              <w:rPr>
                <w:rFonts w:ascii="Arial" w:hAnsi="Arial" w:cs="Arial"/>
                <w:sz w:val="20"/>
                <w:szCs w:val="20"/>
              </w:rPr>
              <w:t>10.</w:t>
            </w:r>
            <w:r w:rsidRPr="005D2402">
              <w:rPr>
                <w:rFonts w:ascii="Arial" w:hAnsi="Arial" w:cs="Arial"/>
                <w:sz w:val="20"/>
                <w:szCs w:val="20"/>
              </w:rPr>
              <w:tab/>
            </w:r>
            <w:r w:rsidRPr="005D2402">
              <w:rPr>
                <w:rFonts w:ascii="Arial" w:eastAsiaTheme="minorEastAsia" w:hAnsi="Arial" w:cs="Arial"/>
                <w:sz w:val="20"/>
                <w:szCs w:val="20"/>
              </w:rPr>
              <w:t>PRESUPUESTO  Y ANALISIS DEL VALOR ESTIMADO DEL CONTRATO:</w:t>
            </w:r>
          </w:p>
          <w:p w:rsidR="002623DF" w:rsidRPr="005D2402" w:rsidRDefault="002623DF" w:rsidP="00D015EE">
            <w:pPr>
              <w:autoSpaceDE w:val="0"/>
              <w:autoSpaceDN w:val="0"/>
              <w:adjustRightInd w:val="0"/>
              <w:jc w:val="both"/>
              <w:rPr>
                <w:rFonts w:ascii="Arial" w:eastAsiaTheme="minorEastAsia" w:hAnsi="Arial" w:cs="Arial"/>
                <w:sz w:val="20"/>
                <w:szCs w:val="20"/>
              </w:rPr>
            </w:pPr>
          </w:p>
          <w:p w:rsidR="002623DF" w:rsidRPr="005D2402" w:rsidRDefault="002623DF" w:rsidP="00D015EE">
            <w:pPr>
              <w:jc w:val="both"/>
              <w:rPr>
                <w:rFonts w:ascii="Arial" w:eastAsiaTheme="minorEastAsia" w:hAnsi="Arial" w:cs="Arial"/>
                <w:sz w:val="20"/>
                <w:szCs w:val="20"/>
              </w:rPr>
            </w:pPr>
            <w:r w:rsidRPr="005D2402">
              <w:rPr>
                <w:rFonts w:ascii="Arial" w:eastAsiaTheme="minorEastAsia" w:hAnsi="Arial" w:cs="Arial"/>
                <w:sz w:val="20"/>
                <w:szCs w:val="20"/>
              </w:rPr>
              <w:t>El presupuesto oficial es por la suma de</w:t>
            </w:r>
            <w:r w:rsidR="009C428E" w:rsidRPr="005D2402">
              <w:rPr>
                <w:rFonts w:ascii="Arial" w:eastAsiaTheme="minorEastAsia" w:hAnsi="Arial" w:cs="Arial"/>
                <w:sz w:val="20"/>
                <w:szCs w:val="20"/>
              </w:rPr>
              <w:t xml:space="preserve"> DOS MILLONES SETECIENTOS MIL PESO S ($2.700.000)</w:t>
            </w:r>
            <w:r w:rsidRPr="005D2402">
              <w:rPr>
                <w:rFonts w:ascii="Arial" w:eastAsiaTheme="minorEastAsia" w:hAnsi="Arial" w:cs="Arial"/>
                <w:sz w:val="20"/>
                <w:szCs w:val="20"/>
              </w:rPr>
              <w:t xml:space="preserve"> para lo cual se cuenta con el certificado de disponibilidad presupuestal número </w:t>
            </w:r>
            <w:r w:rsidR="009C428E" w:rsidRPr="005D2402">
              <w:rPr>
                <w:rFonts w:ascii="Arial" w:eastAsiaTheme="minorEastAsia" w:hAnsi="Arial" w:cs="Arial"/>
                <w:sz w:val="20"/>
                <w:szCs w:val="20"/>
              </w:rPr>
              <w:t>608</w:t>
            </w:r>
            <w:r w:rsidRPr="005D2402">
              <w:rPr>
                <w:rFonts w:ascii="Arial" w:eastAsiaTheme="minorEastAsia" w:hAnsi="Arial" w:cs="Arial"/>
                <w:sz w:val="20"/>
                <w:szCs w:val="20"/>
              </w:rPr>
              <w:t xml:space="preserve"> con fecha del </w:t>
            </w:r>
            <w:r w:rsidR="009C428E" w:rsidRPr="005D2402">
              <w:rPr>
                <w:rFonts w:ascii="Arial" w:eastAsiaTheme="minorEastAsia" w:hAnsi="Arial" w:cs="Arial"/>
                <w:sz w:val="20"/>
                <w:szCs w:val="20"/>
              </w:rPr>
              <w:t xml:space="preserve">17 de marzo de 2022, </w:t>
            </w:r>
            <w:r w:rsidRPr="005D2402">
              <w:rPr>
                <w:rFonts w:ascii="Arial" w:eastAsiaTheme="minorEastAsia" w:hAnsi="Arial" w:cs="Arial"/>
                <w:sz w:val="20"/>
                <w:szCs w:val="20"/>
              </w:rPr>
              <w:t>a</w:t>
            </w:r>
            <w:r w:rsidR="009C428E" w:rsidRPr="005D2402">
              <w:rPr>
                <w:rFonts w:ascii="Arial" w:eastAsiaTheme="minorEastAsia" w:hAnsi="Arial" w:cs="Arial"/>
                <w:sz w:val="20"/>
                <w:szCs w:val="20"/>
              </w:rPr>
              <w:t>fectando el rubro presupuestal:</w:t>
            </w:r>
          </w:p>
          <w:p w:rsidR="009C428E" w:rsidRPr="005D2402" w:rsidRDefault="009C428E" w:rsidP="00D015EE">
            <w:pPr>
              <w:jc w:val="both"/>
              <w:rPr>
                <w:rFonts w:ascii="Arial" w:eastAsiaTheme="minorEastAsia" w:hAnsi="Arial" w:cs="Arial"/>
                <w:sz w:val="20"/>
                <w:szCs w:val="20"/>
              </w:rPr>
            </w:pPr>
          </w:p>
          <w:tbl>
            <w:tblPr>
              <w:tblStyle w:val="Tablaconcuadrcula"/>
              <w:tblW w:w="0" w:type="auto"/>
              <w:tblLook w:val="04A0"/>
            </w:tblPr>
            <w:tblGrid>
              <w:gridCol w:w="2957"/>
              <w:gridCol w:w="6286"/>
            </w:tblGrid>
            <w:tr w:rsidR="009C428E" w:rsidRPr="005D2402" w:rsidTr="009C428E">
              <w:tc>
                <w:tcPr>
                  <w:tcW w:w="2957" w:type="dxa"/>
                </w:tcPr>
                <w:p w:rsidR="009C428E" w:rsidRPr="005D2402" w:rsidRDefault="009C428E" w:rsidP="009C428E">
                  <w:pPr>
                    <w:jc w:val="center"/>
                    <w:rPr>
                      <w:rFonts w:ascii="Arial" w:hAnsi="Arial" w:cs="Arial"/>
                      <w:sz w:val="20"/>
                      <w:szCs w:val="20"/>
                      <w:lang w:val="es-MX"/>
                    </w:rPr>
                  </w:pPr>
                  <w:r w:rsidRPr="005D2402">
                    <w:rPr>
                      <w:rFonts w:ascii="Arial" w:hAnsi="Arial" w:cs="Arial"/>
                      <w:sz w:val="20"/>
                      <w:szCs w:val="20"/>
                      <w:lang w:val="es-MX"/>
                    </w:rPr>
                    <w:t>Rubro presupuestal</w:t>
                  </w:r>
                </w:p>
              </w:tc>
              <w:tc>
                <w:tcPr>
                  <w:tcW w:w="6286" w:type="dxa"/>
                </w:tcPr>
                <w:p w:rsidR="009C428E" w:rsidRPr="005D2402" w:rsidRDefault="009C428E" w:rsidP="009C428E">
                  <w:pPr>
                    <w:jc w:val="center"/>
                    <w:rPr>
                      <w:rFonts w:ascii="Arial" w:hAnsi="Arial" w:cs="Arial"/>
                      <w:sz w:val="20"/>
                      <w:szCs w:val="20"/>
                      <w:lang w:val="es-MX"/>
                    </w:rPr>
                  </w:pPr>
                  <w:r w:rsidRPr="005D2402">
                    <w:rPr>
                      <w:rFonts w:ascii="Arial" w:hAnsi="Arial" w:cs="Arial"/>
                      <w:sz w:val="20"/>
                      <w:szCs w:val="20"/>
                      <w:lang w:val="es-MX"/>
                    </w:rPr>
                    <w:t xml:space="preserve">Nombre </w:t>
                  </w:r>
                </w:p>
              </w:tc>
            </w:tr>
            <w:tr w:rsidR="009C428E" w:rsidRPr="005D2402" w:rsidTr="009C428E">
              <w:tc>
                <w:tcPr>
                  <w:tcW w:w="2957" w:type="dxa"/>
                </w:tcPr>
                <w:p w:rsidR="009C428E" w:rsidRPr="005D2402" w:rsidRDefault="009C428E" w:rsidP="009C428E">
                  <w:pPr>
                    <w:jc w:val="center"/>
                    <w:rPr>
                      <w:rFonts w:ascii="Arial" w:hAnsi="Arial" w:cs="Arial"/>
                      <w:sz w:val="20"/>
                      <w:szCs w:val="20"/>
                      <w:lang w:val="es-MX"/>
                    </w:rPr>
                  </w:pPr>
                  <w:r w:rsidRPr="005D2402">
                    <w:rPr>
                      <w:rFonts w:ascii="Arial" w:hAnsi="Arial" w:cs="Arial"/>
                      <w:color w:val="000000"/>
                      <w:sz w:val="20"/>
                      <w:szCs w:val="20"/>
                    </w:rPr>
                    <w:t>16.2.1.2.02.02.007.01-01</w:t>
                  </w:r>
                </w:p>
              </w:tc>
              <w:tc>
                <w:tcPr>
                  <w:tcW w:w="6286" w:type="dxa"/>
                </w:tcPr>
                <w:p w:rsidR="009C428E" w:rsidRPr="005D2402" w:rsidRDefault="009C428E" w:rsidP="009C428E">
                  <w:pPr>
                    <w:jc w:val="both"/>
                    <w:rPr>
                      <w:rFonts w:ascii="Arial" w:hAnsi="Arial" w:cs="Arial"/>
                      <w:sz w:val="20"/>
                      <w:szCs w:val="20"/>
                    </w:rPr>
                  </w:pPr>
                  <w:r w:rsidRPr="005D2402">
                    <w:rPr>
                      <w:rFonts w:ascii="Arial" w:hAnsi="Arial" w:cs="Arial"/>
                      <w:color w:val="000000"/>
                      <w:sz w:val="20"/>
                      <w:szCs w:val="20"/>
                    </w:rPr>
                    <w:t>SERVICIOS FINANCIEROS Y SERVICIOS CONEXOS, SERVICIOS INMOBILIARIOS Y SERVICIOS DE LEASING | SEGUROS</w:t>
                  </w:r>
                </w:p>
              </w:tc>
            </w:tr>
          </w:tbl>
          <w:p w:rsidR="009C428E" w:rsidRPr="005D2402" w:rsidRDefault="009C428E" w:rsidP="00D015EE">
            <w:pPr>
              <w:jc w:val="both"/>
              <w:rPr>
                <w:rFonts w:ascii="Arial" w:eastAsiaTheme="minorEastAsia" w:hAnsi="Arial" w:cs="Arial"/>
                <w:sz w:val="20"/>
                <w:szCs w:val="20"/>
              </w:rPr>
            </w:pPr>
          </w:p>
          <w:p w:rsidR="002623DF" w:rsidRPr="005D2402" w:rsidRDefault="002623DF" w:rsidP="00D015EE">
            <w:pPr>
              <w:jc w:val="both"/>
              <w:rPr>
                <w:rFonts w:ascii="Arial" w:eastAsiaTheme="minorEastAsia" w:hAnsi="Arial" w:cs="Arial"/>
                <w:sz w:val="20"/>
                <w:szCs w:val="20"/>
              </w:rPr>
            </w:pPr>
            <w:r w:rsidRPr="005D2402">
              <w:rPr>
                <w:rFonts w:ascii="Arial" w:eastAsiaTheme="minorEastAsia" w:hAnsi="Arial" w:cs="Arial"/>
                <w:sz w:val="20"/>
                <w:szCs w:val="20"/>
              </w:rPr>
              <w:t>IMPUESTOS QUE SE CAUSAN LA CONTRATACIÓN OBJETO DE ESTUDIO:</w:t>
            </w:r>
          </w:p>
          <w:p w:rsidR="002623DF" w:rsidRPr="005D2402" w:rsidRDefault="002623DF" w:rsidP="00D015EE">
            <w:pPr>
              <w:jc w:val="both"/>
              <w:rPr>
                <w:rFonts w:ascii="Arial" w:eastAsiaTheme="minorEastAsia" w:hAnsi="Arial" w:cs="Arial"/>
                <w:sz w:val="20"/>
                <w:szCs w:val="20"/>
              </w:rPr>
            </w:pPr>
          </w:p>
          <w:p w:rsidR="002623DF" w:rsidRPr="005D2402" w:rsidRDefault="002623DF" w:rsidP="00D015EE">
            <w:pPr>
              <w:spacing w:line="276" w:lineRule="auto"/>
              <w:jc w:val="both"/>
              <w:rPr>
                <w:rFonts w:ascii="Arial" w:hAnsi="Arial" w:cs="Arial"/>
                <w:sz w:val="20"/>
                <w:szCs w:val="20"/>
              </w:rPr>
            </w:pPr>
            <w:r w:rsidRPr="005D2402">
              <w:rPr>
                <w:rFonts w:ascii="Arial" w:hAnsi="Arial" w:cs="Arial"/>
                <w:sz w:val="20"/>
                <w:szCs w:val="20"/>
              </w:rPr>
              <w:t xml:space="preserve">EL CONTRATISTA deberá pagar los impuestos municipales a que hubiere lugar, así como la "ESTAMPILLA PROBIENESTAR DEL ANCIANO Y CENTROS DE ATENCION PARA LA TERCERA EDAD" esto de conformidad con el Acuerdo Municipal 030 del 27 </w:t>
            </w:r>
            <w:r w:rsidR="009C428E" w:rsidRPr="005D2402">
              <w:rPr>
                <w:rFonts w:ascii="Arial" w:hAnsi="Arial" w:cs="Arial"/>
                <w:sz w:val="20"/>
                <w:szCs w:val="20"/>
              </w:rPr>
              <w:t xml:space="preserve">de diciembre de 2012 inciso 2°. </w:t>
            </w:r>
            <w:r w:rsidRPr="005D2402">
              <w:rPr>
                <w:rFonts w:ascii="Arial" w:hAnsi="Arial" w:cs="Arial"/>
                <w:sz w:val="20"/>
                <w:szCs w:val="20"/>
              </w:rPr>
              <w:t xml:space="preserve">El valor de las estampillas será retenido de cada cuenta de cobro o factura a cancelar. Estampilla </w:t>
            </w:r>
            <w:r w:rsidRPr="005D2402">
              <w:rPr>
                <w:rFonts w:ascii="Arial" w:hAnsi="Arial" w:cs="Arial"/>
                <w:sz w:val="20"/>
                <w:szCs w:val="20"/>
                <w:lang w:val="es-ES_tradnl"/>
              </w:rPr>
              <w:t>Pro Bienestar del Anciano</w:t>
            </w:r>
            <w:r w:rsidRPr="005D2402">
              <w:rPr>
                <w:rFonts w:ascii="Arial" w:hAnsi="Arial" w:cs="Arial"/>
                <w:sz w:val="20"/>
                <w:szCs w:val="20"/>
              </w:rPr>
              <w:t>: 2%</w:t>
            </w:r>
            <w:r w:rsidR="009C428E" w:rsidRPr="005D2402">
              <w:rPr>
                <w:rFonts w:ascii="Arial" w:hAnsi="Arial" w:cs="Arial"/>
                <w:sz w:val="20"/>
                <w:szCs w:val="20"/>
              </w:rPr>
              <w:t>.</w:t>
            </w:r>
          </w:p>
          <w:p w:rsidR="009C428E" w:rsidRPr="005D2402" w:rsidRDefault="009C428E" w:rsidP="00D015EE">
            <w:pPr>
              <w:spacing w:line="276" w:lineRule="auto"/>
              <w:jc w:val="both"/>
              <w:rPr>
                <w:rFonts w:ascii="Arial" w:hAnsi="Arial" w:cs="Arial"/>
                <w:sz w:val="20"/>
                <w:szCs w:val="20"/>
              </w:rPr>
            </w:pPr>
          </w:p>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ESTUDIO DEL MERCADO:</w:t>
            </w:r>
          </w:p>
          <w:p w:rsidR="002623DF" w:rsidRPr="005D2402" w:rsidRDefault="002623DF" w:rsidP="00D015EE">
            <w:pPr>
              <w:autoSpaceDE w:val="0"/>
              <w:autoSpaceDN w:val="0"/>
              <w:adjustRightInd w:val="0"/>
              <w:jc w:val="both"/>
              <w:rPr>
                <w:rFonts w:ascii="Arial" w:hAnsi="Arial" w:cs="Arial"/>
                <w:sz w:val="20"/>
                <w:szCs w:val="20"/>
              </w:rPr>
            </w:pPr>
          </w:p>
          <w:p w:rsidR="003C57F4" w:rsidRPr="005D2402" w:rsidRDefault="003C57F4" w:rsidP="003C57F4">
            <w:pPr>
              <w:jc w:val="both"/>
              <w:rPr>
                <w:rFonts w:ascii="Arial" w:hAnsi="Arial" w:cs="Arial"/>
                <w:b/>
                <w:sz w:val="20"/>
                <w:szCs w:val="20"/>
              </w:rPr>
            </w:pPr>
            <w:r w:rsidRPr="005D2402">
              <w:rPr>
                <w:rFonts w:ascii="Arial" w:hAnsi="Arial" w:cs="Arial"/>
                <w:sz w:val="20"/>
                <w:szCs w:val="20"/>
              </w:rPr>
              <w:object w:dxaOrig="4815" w:dyaOrig="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0.75pt;height:108.75pt" o:ole="">
                  <v:imagedata r:id="rId10" o:title=""/>
                </v:shape>
                <o:OLEObject Type="Embed" ProgID="PBrush" ShapeID="_x0000_i1027" DrawAspect="Content" ObjectID="_1709117668" r:id="rId11"/>
              </w:object>
            </w:r>
          </w:p>
          <w:p w:rsidR="003C57F4" w:rsidRPr="005D2402" w:rsidRDefault="003C57F4" w:rsidP="003C57F4">
            <w:pPr>
              <w:jc w:val="both"/>
              <w:rPr>
                <w:rFonts w:ascii="Arial" w:hAnsi="Arial" w:cs="Arial"/>
                <w:sz w:val="20"/>
                <w:szCs w:val="20"/>
              </w:rPr>
            </w:pPr>
          </w:p>
          <w:p w:rsidR="003C57F4" w:rsidRPr="005D2402" w:rsidRDefault="003C57F4" w:rsidP="003C57F4">
            <w:pPr>
              <w:jc w:val="both"/>
              <w:rPr>
                <w:rFonts w:ascii="Arial" w:eastAsiaTheme="minorEastAsia" w:hAnsi="Arial" w:cs="Arial"/>
                <w:sz w:val="20"/>
                <w:szCs w:val="20"/>
              </w:rPr>
            </w:pPr>
            <w:r w:rsidRPr="005D2402">
              <w:rPr>
                <w:rFonts w:ascii="Arial" w:hAnsi="Arial" w:cs="Arial"/>
                <w:sz w:val="20"/>
                <w:szCs w:val="20"/>
              </w:rPr>
              <w:t xml:space="preserve">De acuerdo TARIFARIO SOAT 2022, consultado en el Internet </w:t>
            </w:r>
            <w:hyperlink r:id="rId12" w:history="1">
              <w:r w:rsidRPr="005D2402">
                <w:rPr>
                  <w:rStyle w:val="Hipervnculo"/>
                  <w:rFonts w:ascii="Arial" w:hAnsi="Arial" w:cs="Arial"/>
                  <w:sz w:val="20"/>
                  <w:szCs w:val="20"/>
                </w:rPr>
                <w:t>https://www.segurosdelestado.com/pages/SOAT_Tarifas</w:t>
              </w:r>
            </w:hyperlink>
            <w:r w:rsidRPr="005D2402">
              <w:rPr>
                <w:rFonts w:ascii="Arial" w:hAnsi="Arial" w:cs="Arial"/>
                <w:sz w:val="20"/>
                <w:szCs w:val="20"/>
              </w:rPr>
              <w:t xml:space="preserve"> y teniendo en cuenta las características del parque automotor de la Entidad, los cuales son oficiales, su costo está dentro del rango de “oficiales especiales”, y se colige que el valor presupuestado de dos millones setecientos mil pesos ($2.700.000) es suficiente para cubrir la necesidad planteada.</w:t>
            </w:r>
          </w:p>
          <w:p w:rsidR="009C428E" w:rsidRPr="005D2402" w:rsidRDefault="009C428E" w:rsidP="00D015EE">
            <w:pPr>
              <w:autoSpaceDE w:val="0"/>
              <w:autoSpaceDN w:val="0"/>
              <w:adjustRightInd w:val="0"/>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11.FORMA DE PAGO:</w:t>
            </w:r>
          </w:p>
          <w:p w:rsidR="002623DF" w:rsidRPr="005D2402" w:rsidRDefault="002623DF" w:rsidP="00D015EE">
            <w:pPr>
              <w:autoSpaceDE w:val="0"/>
              <w:autoSpaceDN w:val="0"/>
              <w:adjustRightInd w:val="0"/>
              <w:jc w:val="both"/>
              <w:rPr>
                <w:rFonts w:ascii="Arial" w:hAnsi="Arial" w:cs="Arial"/>
                <w:sz w:val="20"/>
                <w:szCs w:val="20"/>
              </w:rPr>
            </w:pPr>
          </w:p>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 xml:space="preserve">La Personería cancelará al CONTRATISTA en un solo pago, o de manera mensual o proporcional, de acuerdo a la ejecución del contrato, previo recibo a satisfacción mediante </w:t>
            </w:r>
            <w:r w:rsidRPr="005D2402">
              <w:rPr>
                <w:rFonts w:ascii="Arial" w:hAnsi="Arial" w:cs="Arial"/>
                <w:sz w:val="20"/>
                <w:szCs w:val="20"/>
                <w:lang w:val="es-ES_tradnl"/>
              </w:rPr>
              <w:t xml:space="preserve">acta de supervisión donde el supervisor asignado certifique el </w:t>
            </w:r>
            <w:r w:rsidRPr="005D2402">
              <w:rPr>
                <w:rFonts w:ascii="Arial" w:hAnsi="Arial" w:cs="Arial"/>
                <w:sz w:val="20"/>
                <w:szCs w:val="20"/>
                <w:lang w:val="es-MX"/>
              </w:rPr>
              <w:t>cumplimiento del objeto del contrato a entera satisfacción</w:t>
            </w:r>
            <w:r w:rsidRPr="005D2402">
              <w:rPr>
                <w:rFonts w:ascii="Arial" w:hAnsi="Arial" w:cs="Arial"/>
                <w:sz w:val="20"/>
                <w:szCs w:val="20"/>
              </w:rPr>
              <w:t>, presentación de la factura, cuenta de cobro o documento equivalente, adjuntando el comprobante que acredite que se encuentra al día en el pago de aportes al Sistema de Seguridad Social Integral.</w:t>
            </w:r>
          </w:p>
          <w:p w:rsidR="002623DF" w:rsidRPr="005D2402" w:rsidRDefault="002623DF" w:rsidP="00D015EE">
            <w:pPr>
              <w:autoSpaceDE w:val="0"/>
              <w:autoSpaceDN w:val="0"/>
              <w:adjustRightInd w:val="0"/>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t>12.</w:t>
            </w:r>
            <w:r w:rsidRPr="005D2402">
              <w:rPr>
                <w:rFonts w:ascii="Arial" w:hAnsi="Arial" w:cs="Arial"/>
                <w:sz w:val="20"/>
                <w:szCs w:val="20"/>
              </w:rPr>
              <w:tab/>
              <w:t>TIPIFICACIÓN, ESTIMACIÓN Y ASIGNACIÓN DE LOS RIESGOS PREVISIBLES QUE PUEDAN AFECTAR EL EQUILIBRIO ECONÓMICO DEL CONTRATO.</w:t>
            </w:r>
          </w:p>
          <w:p w:rsidR="002623DF" w:rsidRPr="005D2402" w:rsidRDefault="002623DF" w:rsidP="00D015EE">
            <w:pPr>
              <w:autoSpaceDE w:val="0"/>
              <w:autoSpaceDN w:val="0"/>
              <w:adjustRightInd w:val="0"/>
              <w:jc w:val="both"/>
              <w:rPr>
                <w:rFonts w:ascii="Arial" w:hAnsi="Arial" w:cs="Arial"/>
                <w:sz w:val="20"/>
                <w:szCs w:val="20"/>
              </w:rPr>
            </w:pPr>
          </w:p>
          <w:p w:rsidR="002623DF" w:rsidRPr="005D2402" w:rsidRDefault="002623DF" w:rsidP="00D015EE">
            <w:pPr>
              <w:pStyle w:val="Default"/>
              <w:jc w:val="both"/>
              <w:rPr>
                <w:color w:val="auto"/>
                <w:sz w:val="20"/>
                <w:szCs w:val="20"/>
              </w:rPr>
            </w:pPr>
            <w:r w:rsidRPr="005D2402">
              <w:rPr>
                <w:color w:val="auto"/>
                <w:sz w:val="20"/>
                <w:szCs w:val="20"/>
              </w:rPr>
              <w:lastRenderedPageBreak/>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2623DF" w:rsidRPr="005D2402" w:rsidRDefault="002623DF" w:rsidP="00D015EE">
            <w:pPr>
              <w:pStyle w:val="Default"/>
              <w:jc w:val="both"/>
              <w:rPr>
                <w:color w:val="auto"/>
                <w:sz w:val="20"/>
                <w:szCs w:val="20"/>
              </w:rPr>
            </w:pPr>
          </w:p>
          <w:p w:rsidR="002623DF" w:rsidRPr="005D2402" w:rsidRDefault="002623DF" w:rsidP="00D015EE">
            <w:pPr>
              <w:pStyle w:val="Default"/>
              <w:jc w:val="both"/>
              <w:rPr>
                <w:color w:val="auto"/>
                <w:sz w:val="20"/>
                <w:szCs w:val="20"/>
              </w:rPr>
            </w:pPr>
            <w:r w:rsidRPr="005D2402">
              <w:rPr>
                <w:color w:val="auto"/>
                <w:sz w:val="20"/>
                <w:szCs w:val="20"/>
              </w:rPr>
              <w:t xml:space="preserve">Riesgo Previsible: Son los posibles hechos o circunstancias que por la naturaleza de la actividad a ejecutar es factible su ocurrencia. </w:t>
            </w:r>
          </w:p>
          <w:p w:rsidR="002623DF" w:rsidRPr="005D2402" w:rsidRDefault="002623DF" w:rsidP="00D015EE">
            <w:pPr>
              <w:pStyle w:val="Default"/>
              <w:jc w:val="both"/>
              <w:rPr>
                <w:color w:val="auto"/>
                <w:sz w:val="20"/>
                <w:szCs w:val="20"/>
              </w:rPr>
            </w:pPr>
          </w:p>
          <w:p w:rsidR="002623DF" w:rsidRPr="005D2402" w:rsidRDefault="002623DF" w:rsidP="00D015EE">
            <w:pPr>
              <w:pStyle w:val="Default"/>
              <w:jc w:val="both"/>
              <w:rPr>
                <w:color w:val="auto"/>
                <w:sz w:val="20"/>
                <w:szCs w:val="20"/>
              </w:rPr>
            </w:pPr>
            <w:r w:rsidRPr="005D2402">
              <w:rPr>
                <w:color w:val="auto"/>
                <w:sz w:val="20"/>
                <w:szCs w:val="20"/>
              </w:rPr>
              <w:t xml:space="preserve">Riesgo Imprevisible: Son aquellos hechos o circunstancias donde no es factible su previsión, es decir el acontecimiento de su ocurrencia, tales como desastres naturales, actos terroristas, guerra o eventos que alteren el orden público. </w:t>
            </w:r>
          </w:p>
          <w:p w:rsidR="002623DF" w:rsidRPr="005D2402" w:rsidRDefault="002623DF" w:rsidP="00D015EE">
            <w:pPr>
              <w:autoSpaceDE w:val="0"/>
              <w:autoSpaceDN w:val="0"/>
              <w:adjustRightInd w:val="0"/>
              <w:jc w:val="both"/>
              <w:rPr>
                <w:rFonts w:ascii="Arial" w:hAnsi="Arial" w:cs="Arial"/>
                <w:sz w:val="20"/>
                <w:szCs w:val="20"/>
                <w:lang w:val="es-ES"/>
              </w:rPr>
            </w:pPr>
          </w:p>
          <w:p w:rsidR="002623DF" w:rsidRPr="005D2402" w:rsidRDefault="002623DF" w:rsidP="00D015EE">
            <w:pPr>
              <w:pStyle w:val="Default"/>
              <w:jc w:val="both"/>
              <w:rPr>
                <w:color w:val="auto"/>
                <w:sz w:val="20"/>
                <w:szCs w:val="20"/>
              </w:rPr>
            </w:pPr>
            <w:r w:rsidRPr="005D2402">
              <w:rPr>
                <w:color w:val="auto"/>
                <w:sz w:val="20"/>
                <w:szCs w:val="20"/>
              </w:rPr>
              <w:t>Se anexa tabla de tipificación, estimación y asignación de los riesgos previsibles y la cual hace parte íntegra del presente estudio.</w:t>
            </w:r>
          </w:p>
          <w:p w:rsidR="002623DF" w:rsidRPr="005D2402" w:rsidRDefault="002623DF" w:rsidP="00D015EE">
            <w:pPr>
              <w:pStyle w:val="Default"/>
              <w:jc w:val="both"/>
              <w:rPr>
                <w:color w:val="auto"/>
                <w:sz w:val="20"/>
                <w:szCs w:val="20"/>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641"/>
              <w:gridCol w:w="641"/>
              <w:gridCol w:w="642"/>
              <w:gridCol w:w="1926"/>
              <w:gridCol w:w="944"/>
              <w:gridCol w:w="828"/>
              <w:gridCol w:w="659"/>
              <w:gridCol w:w="816"/>
              <w:gridCol w:w="1366"/>
            </w:tblGrid>
            <w:tr w:rsidR="002623DF" w:rsidRPr="005D2402" w:rsidTr="00D015EE">
              <w:trPr>
                <w:cantSplit/>
                <w:trHeight w:val="1558"/>
              </w:trPr>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CLASE</w:t>
                  </w:r>
                </w:p>
              </w:tc>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FUENTE</w:t>
                  </w:r>
                </w:p>
              </w:tc>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ETAPA</w:t>
                  </w:r>
                </w:p>
              </w:tc>
              <w:tc>
                <w:tcPr>
                  <w:tcW w:w="642"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TIPO</w:t>
                  </w:r>
                </w:p>
              </w:tc>
              <w:tc>
                <w:tcPr>
                  <w:tcW w:w="1926"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DESCRIPCION</w:t>
                  </w:r>
                </w:p>
              </w:tc>
              <w:tc>
                <w:tcPr>
                  <w:tcW w:w="944"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PROBABILIDAD</w:t>
                  </w:r>
                </w:p>
              </w:tc>
              <w:tc>
                <w:tcPr>
                  <w:tcW w:w="828"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IMPACTO</w:t>
                  </w:r>
                </w:p>
              </w:tc>
              <w:tc>
                <w:tcPr>
                  <w:tcW w:w="659"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VALORACION</w:t>
                  </w:r>
                </w:p>
              </w:tc>
              <w:tc>
                <w:tcPr>
                  <w:tcW w:w="816"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CATEGORIA DEL RIESGO</w:t>
                  </w:r>
                </w:p>
              </w:tc>
              <w:tc>
                <w:tcPr>
                  <w:tcW w:w="1366"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ASIGANACION</w:t>
                  </w:r>
                </w:p>
              </w:tc>
            </w:tr>
            <w:tr w:rsidR="002623DF" w:rsidRPr="005D2402" w:rsidTr="00D015EE">
              <w:trPr>
                <w:trHeight w:val="1286"/>
              </w:trPr>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Específico</w:t>
                  </w:r>
                </w:p>
              </w:tc>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Interno</w:t>
                  </w:r>
                </w:p>
              </w:tc>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Ejecución</w:t>
                  </w:r>
                </w:p>
              </w:tc>
              <w:tc>
                <w:tcPr>
                  <w:tcW w:w="642"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Operacional</w:t>
                  </w:r>
                </w:p>
              </w:tc>
              <w:tc>
                <w:tcPr>
                  <w:tcW w:w="1926" w:type="dxa"/>
                  <w:shd w:val="clear" w:color="auto" w:fill="auto"/>
                  <w:vAlign w:val="center"/>
                </w:tcPr>
                <w:p w:rsidR="002623DF" w:rsidRPr="005D2402" w:rsidRDefault="002623DF" w:rsidP="00D015EE">
                  <w:pPr>
                    <w:autoSpaceDE w:val="0"/>
                    <w:autoSpaceDN w:val="0"/>
                    <w:adjustRightInd w:val="0"/>
                    <w:spacing w:before="60" w:after="60" w:line="276" w:lineRule="auto"/>
                    <w:rPr>
                      <w:rFonts w:ascii="Arial" w:hAnsi="Arial" w:cs="Arial"/>
                      <w:sz w:val="20"/>
                      <w:szCs w:val="20"/>
                      <w:lang w:eastAsia="es-CO"/>
                    </w:rPr>
                  </w:pPr>
                  <w:r w:rsidRPr="005D2402">
                    <w:rPr>
                      <w:rFonts w:ascii="Arial" w:hAnsi="Arial" w:cs="Arial"/>
                      <w:sz w:val="20"/>
                      <w:szCs w:val="20"/>
                      <w:lang w:eastAsia="es-CO"/>
                    </w:rPr>
                    <w:t>Incumplimiento de las obligaciones surgidas del contrato estatal.</w:t>
                  </w:r>
                </w:p>
              </w:tc>
              <w:tc>
                <w:tcPr>
                  <w:tcW w:w="944"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Posible</w:t>
                  </w:r>
                </w:p>
              </w:tc>
              <w:tc>
                <w:tcPr>
                  <w:tcW w:w="828"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Mayor</w:t>
                  </w:r>
                </w:p>
              </w:tc>
              <w:tc>
                <w:tcPr>
                  <w:tcW w:w="659"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Alto</w:t>
                  </w:r>
                </w:p>
              </w:tc>
              <w:tc>
                <w:tcPr>
                  <w:tcW w:w="816"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Media</w:t>
                  </w:r>
                </w:p>
              </w:tc>
              <w:tc>
                <w:tcPr>
                  <w:tcW w:w="1366" w:type="dxa"/>
                  <w:shd w:val="clear" w:color="auto" w:fill="auto"/>
                  <w:vAlign w:val="center"/>
                </w:tcPr>
                <w:p w:rsidR="002623DF" w:rsidRPr="005D2402"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5D2402">
                    <w:rPr>
                      <w:rFonts w:ascii="Arial" w:hAnsi="Arial" w:cs="Arial"/>
                      <w:sz w:val="20"/>
                      <w:szCs w:val="20"/>
                      <w:lang w:eastAsia="es-CO"/>
                    </w:rPr>
                    <w:t>Contratista</w:t>
                  </w:r>
                </w:p>
              </w:tc>
            </w:tr>
            <w:tr w:rsidR="002623DF" w:rsidRPr="005D2402" w:rsidTr="00D015EE">
              <w:trPr>
                <w:trHeight w:val="1248"/>
              </w:trPr>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Específico</w:t>
                  </w:r>
                </w:p>
              </w:tc>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Interno</w:t>
                  </w:r>
                </w:p>
              </w:tc>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Ejecución</w:t>
                  </w:r>
                </w:p>
              </w:tc>
              <w:tc>
                <w:tcPr>
                  <w:tcW w:w="642"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Operacional</w:t>
                  </w:r>
                </w:p>
              </w:tc>
              <w:tc>
                <w:tcPr>
                  <w:tcW w:w="1926" w:type="dxa"/>
                  <w:shd w:val="clear" w:color="auto" w:fill="auto"/>
                  <w:vAlign w:val="center"/>
                </w:tcPr>
                <w:p w:rsidR="002623DF" w:rsidRPr="005D2402" w:rsidRDefault="002623DF" w:rsidP="00D015EE">
                  <w:pPr>
                    <w:autoSpaceDE w:val="0"/>
                    <w:autoSpaceDN w:val="0"/>
                    <w:adjustRightInd w:val="0"/>
                    <w:spacing w:before="60" w:after="60" w:line="276" w:lineRule="auto"/>
                    <w:rPr>
                      <w:rFonts w:ascii="Arial" w:hAnsi="Arial" w:cs="Arial"/>
                      <w:sz w:val="20"/>
                      <w:szCs w:val="20"/>
                      <w:lang w:eastAsia="es-CO"/>
                    </w:rPr>
                  </w:pPr>
                  <w:r w:rsidRPr="005D2402">
                    <w:rPr>
                      <w:rFonts w:ascii="Arial" w:hAnsi="Arial" w:cs="Arial"/>
                      <w:sz w:val="20"/>
                      <w:szCs w:val="20"/>
                      <w:lang w:eastAsia="es-CO"/>
                    </w:rPr>
                    <w:t>El no pago de salarios, prestaciones sociales e indemnizaciones laborales.</w:t>
                  </w:r>
                </w:p>
              </w:tc>
              <w:tc>
                <w:tcPr>
                  <w:tcW w:w="944"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 xml:space="preserve">Bajo </w:t>
                  </w:r>
                </w:p>
              </w:tc>
              <w:tc>
                <w:tcPr>
                  <w:tcW w:w="828"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Mayor</w:t>
                  </w:r>
                </w:p>
              </w:tc>
              <w:tc>
                <w:tcPr>
                  <w:tcW w:w="659"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Alto</w:t>
                  </w:r>
                </w:p>
              </w:tc>
              <w:tc>
                <w:tcPr>
                  <w:tcW w:w="816"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Baja</w:t>
                  </w:r>
                </w:p>
              </w:tc>
              <w:tc>
                <w:tcPr>
                  <w:tcW w:w="1366" w:type="dxa"/>
                  <w:shd w:val="clear" w:color="auto" w:fill="auto"/>
                  <w:vAlign w:val="center"/>
                </w:tcPr>
                <w:p w:rsidR="002623DF" w:rsidRPr="005D2402"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5D2402">
                    <w:rPr>
                      <w:rFonts w:ascii="Arial" w:hAnsi="Arial" w:cs="Arial"/>
                      <w:sz w:val="20"/>
                      <w:szCs w:val="20"/>
                      <w:lang w:eastAsia="es-CO"/>
                    </w:rPr>
                    <w:t>Contratista</w:t>
                  </w:r>
                </w:p>
              </w:tc>
            </w:tr>
            <w:tr w:rsidR="002623DF" w:rsidRPr="005D2402" w:rsidTr="00D015EE">
              <w:trPr>
                <w:trHeight w:val="1230"/>
              </w:trPr>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Específico</w:t>
                  </w:r>
                </w:p>
              </w:tc>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Interno</w:t>
                  </w:r>
                </w:p>
              </w:tc>
              <w:tc>
                <w:tcPr>
                  <w:tcW w:w="641"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Ejecución</w:t>
                  </w:r>
                </w:p>
              </w:tc>
              <w:tc>
                <w:tcPr>
                  <w:tcW w:w="642" w:type="dxa"/>
                  <w:shd w:val="clear" w:color="auto" w:fill="auto"/>
                  <w:textDirection w:val="btLr"/>
                  <w:vAlign w:val="center"/>
                </w:tcPr>
                <w:p w:rsidR="002623DF" w:rsidRPr="005D2402" w:rsidRDefault="002623DF" w:rsidP="00D015EE">
                  <w:pPr>
                    <w:widowControl w:val="0"/>
                    <w:spacing w:before="60" w:after="60" w:line="276" w:lineRule="auto"/>
                    <w:ind w:left="113" w:right="113"/>
                    <w:jc w:val="center"/>
                    <w:rPr>
                      <w:rFonts w:ascii="Arial" w:hAnsi="Arial" w:cs="Arial"/>
                      <w:bCs/>
                      <w:sz w:val="20"/>
                      <w:szCs w:val="20"/>
                    </w:rPr>
                  </w:pPr>
                  <w:r w:rsidRPr="005D2402">
                    <w:rPr>
                      <w:rFonts w:ascii="Arial" w:hAnsi="Arial" w:cs="Arial"/>
                      <w:bCs/>
                      <w:sz w:val="20"/>
                      <w:szCs w:val="20"/>
                    </w:rPr>
                    <w:t>Regulatorio</w:t>
                  </w:r>
                </w:p>
              </w:tc>
              <w:tc>
                <w:tcPr>
                  <w:tcW w:w="1926" w:type="dxa"/>
                  <w:shd w:val="clear" w:color="auto" w:fill="auto"/>
                  <w:vAlign w:val="center"/>
                </w:tcPr>
                <w:p w:rsidR="002623DF" w:rsidRPr="005D2402" w:rsidRDefault="002623DF" w:rsidP="00D015EE">
                  <w:pPr>
                    <w:autoSpaceDE w:val="0"/>
                    <w:autoSpaceDN w:val="0"/>
                    <w:adjustRightInd w:val="0"/>
                    <w:spacing w:before="60" w:after="60" w:line="276" w:lineRule="auto"/>
                    <w:jc w:val="both"/>
                    <w:rPr>
                      <w:rFonts w:ascii="Arial" w:hAnsi="Arial" w:cs="Arial"/>
                      <w:bCs/>
                      <w:sz w:val="20"/>
                      <w:szCs w:val="20"/>
                      <w:lang w:eastAsia="es-CO"/>
                    </w:rPr>
                  </w:pPr>
                  <w:r w:rsidRPr="005D2402">
                    <w:rPr>
                      <w:rFonts w:ascii="Arial" w:hAnsi="Arial" w:cs="Arial"/>
                      <w:bCs/>
                      <w:sz w:val="20"/>
                      <w:szCs w:val="20"/>
                      <w:lang w:eastAsia="es-CO"/>
                    </w:rPr>
                    <w:t>Cambios en la normatividad vigente</w:t>
                  </w:r>
                </w:p>
              </w:tc>
              <w:tc>
                <w:tcPr>
                  <w:tcW w:w="944"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Posible</w:t>
                  </w:r>
                </w:p>
              </w:tc>
              <w:tc>
                <w:tcPr>
                  <w:tcW w:w="828"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Mayor</w:t>
                  </w:r>
                </w:p>
              </w:tc>
              <w:tc>
                <w:tcPr>
                  <w:tcW w:w="659"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Alto</w:t>
                  </w:r>
                </w:p>
              </w:tc>
              <w:tc>
                <w:tcPr>
                  <w:tcW w:w="816" w:type="dxa"/>
                  <w:shd w:val="clear" w:color="auto" w:fill="auto"/>
                  <w:vAlign w:val="center"/>
                </w:tcPr>
                <w:p w:rsidR="002623DF" w:rsidRPr="005D2402" w:rsidRDefault="002623DF" w:rsidP="00D015EE">
                  <w:pPr>
                    <w:widowControl w:val="0"/>
                    <w:spacing w:before="60" w:after="60" w:line="276" w:lineRule="auto"/>
                    <w:jc w:val="center"/>
                    <w:rPr>
                      <w:rFonts w:ascii="Arial" w:hAnsi="Arial" w:cs="Arial"/>
                      <w:bCs/>
                      <w:sz w:val="20"/>
                      <w:szCs w:val="20"/>
                    </w:rPr>
                  </w:pPr>
                  <w:r w:rsidRPr="005D2402">
                    <w:rPr>
                      <w:rFonts w:ascii="Arial" w:hAnsi="Arial" w:cs="Arial"/>
                      <w:bCs/>
                      <w:sz w:val="20"/>
                      <w:szCs w:val="20"/>
                    </w:rPr>
                    <w:t>Baja</w:t>
                  </w:r>
                </w:p>
              </w:tc>
              <w:tc>
                <w:tcPr>
                  <w:tcW w:w="1366" w:type="dxa"/>
                  <w:shd w:val="clear" w:color="auto" w:fill="auto"/>
                  <w:vAlign w:val="center"/>
                </w:tcPr>
                <w:p w:rsidR="002623DF" w:rsidRPr="005D2402"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5D2402">
                    <w:rPr>
                      <w:rFonts w:ascii="Arial" w:hAnsi="Arial" w:cs="Arial"/>
                      <w:sz w:val="20"/>
                      <w:szCs w:val="20"/>
                      <w:lang w:eastAsia="es-CO"/>
                    </w:rPr>
                    <w:t>Contratista y Contratante</w:t>
                  </w:r>
                </w:p>
              </w:tc>
            </w:tr>
          </w:tbl>
          <w:p w:rsidR="002623DF" w:rsidRPr="005D2402" w:rsidRDefault="002623DF" w:rsidP="00D015EE">
            <w:pPr>
              <w:autoSpaceDE w:val="0"/>
              <w:autoSpaceDN w:val="0"/>
              <w:adjustRightInd w:val="0"/>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autoSpaceDE w:val="0"/>
              <w:autoSpaceDN w:val="0"/>
              <w:adjustRightInd w:val="0"/>
              <w:jc w:val="both"/>
              <w:rPr>
                <w:rFonts w:ascii="Arial" w:hAnsi="Arial" w:cs="Arial"/>
                <w:sz w:val="20"/>
                <w:szCs w:val="20"/>
              </w:rPr>
            </w:pPr>
            <w:r w:rsidRPr="005D2402">
              <w:rPr>
                <w:rFonts w:ascii="Arial" w:hAnsi="Arial" w:cs="Arial"/>
                <w:sz w:val="20"/>
                <w:szCs w:val="20"/>
              </w:rPr>
              <w:lastRenderedPageBreak/>
              <w:t>13.</w:t>
            </w:r>
            <w:r w:rsidRPr="005D2402">
              <w:rPr>
                <w:rFonts w:ascii="Arial" w:hAnsi="Arial" w:cs="Arial"/>
                <w:sz w:val="20"/>
                <w:szCs w:val="20"/>
              </w:rPr>
              <w:tab/>
              <w:t xml:space="preserve">ANÁLISIS DEL RIESGO Y GARANTÍAS: </w:t>
            </w:r>
          </w:p>
          <w:p w:rsidR="002623DF" w:rsidRPr="005D2402" w:rsidRDefault="002623DF" w:rsidP="003C57F4">
            <w:pPr>
              <w:spacing w:before="100" w:beforeAutospacing="1"/>
              <w:jc w:val="both"/>
              <w:rPr>
                <w:rFonts w:ascii="Arial" w:hAnsi="Arial" w:cs="Arial"/>
                <w:sz w:val="20"/>
                <w:szCs w:val="20"/>
              </w:rPr>
            </w:pPr>
            <w:r w:rsidRPr="005D2402">
              <w:rPr>
                <w:rFonts w:ascii="Arial" w:hAnsi="Arial" w:cs="Arial"/>
                <w:sz w:val="20"/>
                <w:szCs w:val="20"/>
              </w:rPr>
              <w:t>Por la naturaleza del contrato el plazo de ejecución y el valor del mismo contrato, no se estimaron riesgos previsibles que puedan afectar el equilibrio económico del contrato. Se considera un riesgo bajo, por lo tanto, no se exigirán pólizas de garantía de acuerdo a lo establecido en el inciso 4 del Artículo 7 de la Ley 1150 de 2007 que dispone: “…Las garantías no serán obligatorias en los contratos de  impresito, en los interadministrativos, en los de seguro y en los contratos cuyo valor sea inferior al 10% de la menor cuantía a que se refiere esta ley, caso en el cual corresponderá a la entidad determinar la necesidad de exigirla, atendiendo a la naturaleza del objeto del contrato y a la forma de pago, así como en los demás que señale el reglamento…”</w:t>
            </w:r>
          </w:p>
          <w:p w:rsidR="003C57F4" w:rsidRPr="005D2402" w:rsidRDefault="003C57F4" w:rsidP="003C57F4">
            <w:pPr>
              <w:spacing w:before="100" w:beforeAutospacing="1"/>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adjustRightInd w:val="0"/>
              <w:jc w:val="both"/>
              <w:rPr>
                <w:rFonts w:ascii="Arial" w:hAnsi="Arial" w:cs="Arial"/>
                <w:sz w:val="20"/>
                <w:szCs w:val="20"/>
              </w:rPr>
            </w:pPr>
            <w:r w:rsidRPr="005D2402">
              <w:rPr>
                <w:rFonts w:ascii="Arial" w:hAnsi="Arial" w:cs="Arial"/>
                <w:sz w:val="20"/>
                <w:szCs w:val="20"/>
              </w:rPr>
              <w:t>14.</w:t>
            </w:r>
            <w:r w:rsidRPr="005D2402">
              <w:rPr>
                <w:rFonts w:ascii="Arial" w:hAnsi="Arial" w:cs="Arial"/>
                <w:sz w:val="20"/>
                <w:szCs w:val="20"/>
              </w:rPr>
              <w:tab/>
              <w:t>LUGAR EN DONDE SE PUEDEN CONSULTAR LOS ESTUDIOS PREVIOS:</w:t>
            </w:r>
          </w:p>
          <w:p w:rsidR="002623DF" w:rsidRPr="005D2402" w:rsidRDefault="002623DF" w:rsidP="00D015EE">
            <w:pPr>
              <w:adjustRightInd w:val="0"/>
              <w:jc w:val="both"/>
              <w:rPr>
                <w:rFonts w:ascii="Arial" w:hAnsi="Arial" w:cs="Arial"/>
                <w:sz w:val="20"/>
                <w:szCs w:val="20"/>
              </w:rPr>
            </w:pPr>
          </w:p>
          <w:p w:rsidR="002623DF" w:rsidRPr="005D2402" w:rsidRDefault="002623DF" w:rsidP="00D015EE">
            <w:pPr>
              <w:adjustRightInd w:val="0"/>
              <w:jc w:val="both"/>
              <w:rPr>
                <w:rFonts w:ascii="Arial" w:hAnsi="Arial" w:cs="Arial"/>
                <w:sz w:val="20"/>
                <w:szCs w:val="20"/>
              </w:rPr>
            </w:pPr>
            <w:r w:rsidRPr="005D2402">
              <w:rPr>
                <w:rFonts w:ascii="Arial" w:hAnsi="Arial" w:cs="Arial"/>
                <w:sz w:val="20"/>
                <w:szCs w:val="20"/>
              </w:rPr>
              <w:t>Los estudios previos y demás documentos se podrán consultar en la en la Secretaría General de la Personería de Itagüí, ubicada en la carrera 51 No. 51-55 C.A.M.I, Edificio Judicial, piso 5° piso de Itagüí.</w:t>
            </w:r>
          </w:p>
          <w:p w:rsidR="002623DF" w:rsidRPr="005D2402" w:rsidRDefault="002623DF" w:rsidP="00D015EE">
            <w:pPr>
              <w:adjustRightInd w:val="0"/>
              <w:jc w:val="both"/>
              <w:rPr>
                <w:rFonts w:ascii="Arial" w:hAnsi="Arial" w:cs="Arial"/>
                <w:sz w:val="20"/>
                <w:szCs w:val="20"/>
              </w:rPr>
            </w:pPr>
          </w:p>
        </w:tc>
      </w:tr>
      <w:tr w:rsidR="002623DF" w:rsidRPr="005D2402" w:rsidTr="00D015EE">
        <w:tc>
          <w:tcPr>
            <w:tcW w:w="9657" w:type="dxa"/>
            <w:gridSpan w:val="6"/>
          </w:tcPr>
          <w:p w:rsidR="002623DF" w:rsidRPr="005D2402" w:rsidRDefault="002623DF" w:rsidP="00D015EE">
            <w:pPr>
              <w:pStyle w:val="Default"/>
              <w:jc w:val="both"/>
              <w:rPr>
                <w:color w:val="auto"/>
                <w:sz w:val="20"/>
                <w:szCs w:val="20"/>
              </w:rPr>
            </w:pPr>
            <w:r w:rsidRPr="005D2402">
              <w:rPr>
                <w:color w:val="auto"/>
                <w:sz w:val="20"/>
                <w:szCs w:val="20"/>
              </w:rPr>
              <w:t>15.    INDICACIÓN SI LA CONTRATACIÓN RESPECTIVA ESTÁ COBIJADA POR UN ACUERDO INTERNACIONAL O TRABAJO DE LIBRE COMERCIO VIGENTE PARA EL ESTADO COLOMBIANO:</w:t>
            </w:r>
          </w:p>
          <w:p w:rsidR="002623DF" w:rsidRPr="005D2402" w:rsidRDefault="002623DF" w:rsidP="00D015EE">
            <w:pPr>
              <w:pStyle w:val="Default"/>
              <w:jc w:val="both"/>
              <w:rPr>
                <w:color w:val="auto"/>
                <w:sz w:val="20"/>
                <w:szCs w:val="20"/>
              </w:rPr>
            </w:pPr>
          </w:p>
          <w:p w:rsidR="002623DF" w:rsidRPr="005D2402" w:rsidRDefault="002623DF" w:rsidP="00D015EE">
            <w:pPr>
              <w:pStyle w:val="Default"/>
              <w:jc w:val="both"/>
              <w:rPr>
                <w:sz w:val="20"/>
                <w:szCs w:val="20"/>
              </w:rPr>
            </w:pPr>
            <w:r w:rsidRPr="005D2402">
              <w:rPr>
                <w:sz w:val="20"/>
                <w:szCs w:val="20"/>
              </w:rPr>
              <w:t>La Personería Municipal de Itagüí está obligada por los Acuerdos Comerciales con Chile y Guatemala y por la Decisión 439 de 1998 de la Secretaría de la CAN.</w:t>
            </w:r>
          </w:p>
          <w:p w:rsidR="002623DF" w:rsidRPr="005D2402" w:rsidRDefault="002623DF" w:rsidP="00D015EE">
            <w:pPr>
              <w:pStyle w:val="Default"/>
              <w:jc w:val="both"/>
              <w:rPr>
                <w:sz w:val="20"/>
                <w:szCs w:val="20"/>
              </w:rPr>
            </w:pPr>
          </w:p>
        </w:tc>
      </w:tr>
      <w:tr w:rsidR="002623DF" w:rsidRPr="005D2402" w:rsidTr="00D015EE">
        <w:tc>
          <w:tcPr>
            <w:tcW w:w="9657" w:type="dxa"/>
            <w:gridSpan w:val="6"/>
          </w:tcPr>
          <w:p w:rsidR="002623DF" w:rsidRPr="005D2402" w:rsidRDefault="002623DF" w:rsidP="00D015EE">
            <w:pPr>
              <w:pStyle w:val="Default"/>
              <w:jc w:val="both"/>
              <w:rPr>
                <w:color w:val="auto"/>
                <w:sz w:val="20"/>
                <w:szCs w:val="20"/>
              </w:rPr>
            </w:pPr>
            <w:r w:rsidRPr="005D2402">
              <w:rPr>
                <w:color w:val="auto"/>
                <w:sz w:val="20"/>
                <w:szCs w:val="20"/>
              </w:rPr>
              <w:t xml:space="preserve">16.  FIRMAS: </w:t>
            </w:r>
          </w:p>
          <w:p w:rsidR="002623DF" w:rsidRPr="005D2402" w:rsidRDefault="002623DF" w:rsidP="00D015EE">
            <w:pPr>
              <w:pStyle w:val="Default"/>
              <w:jc w:val="both"/>
              <w:rPr>
                <w:color w:val="auto"/>
                <w:sz w:val="20"/>
                <w:szCs w:val="20"/>
              </w:rPr>
            </w:pPr>
          </w:p>
          <w:p w:rsidR="002623DF" w:rsidRPr="005D2402" w:rsidRDefault="005D2402" w:rsidP="005D2402">
            <w:pPr>
              <w:pStyle w:val="Default"/>
              <w:jc w:val="both"/>
              <w:rPr>
                <w:color w:val="auto"/>
                <w:sz w:val="20"/>
                <w:szCs w:val="20"/>
                <w:lang w:val="es-CO"/>
              </w:rPr>
            </w:pPr>
            <w:r>
              <w:rPr>
                <w:noProof/>
                <w:color w:val="auto"/>
                <w:sz w:val="20"/>
                <w:szCs w:val="20"/>
              </w:rPr>
              <w:drawing>
                <wp:inline distT="0" distB="0" distL="0" distR="0">
                  <wp:extent cx="2143125" cy="1606123"/>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143125" cy="1606123"/>
                          </a:xfrm>
                          <a:prstGeom prst="rect">
                            <a:avLst/>
                          </a:prstGeom>
                          <a:noFill/>
                          <a:ln w="9525">
                            <a:noFill/>
                            <a:miter lim="800000"/>
                            <a:headEnd/>
                            <a:tailEnd/>
                          </a:ln>
                        </pic:spPr>
                      </pic:pic>
                    </a:graphicData>
                  </a:graphic>
                </wp:inline>
              </w:drawing>
            </w:r>
            <w:r>
              <w:rPr>
                <w:noProof/>
                <w:color w:val="auto"/>
                <w:sz w:val="20"/>
                <w:szCs w:val="20"/>
              </w:rPr>
              <w:drawing>
                <wp:inline distT="0" distB="0" distL="0" distR="0">
                  <wp:extent cx="4219575" cy="2543859"/>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4219575" cy="2543859"/>
                          </a:xfrm>
                          <a:prstGeom prst="rect">
                            <a:avLst/>
                          </a:prstGeom>
                          <a:noFill/>
                          <a:ln w="9525">
                            <a:noFill/>
                            <a:miter lim="800000"/>
                            <a:headEnd/>
                            <a:tailEnd/>
                          </a:ln>
                        </pic:spPr>
                      </pic:pic>
                    </a:graphicData>
                  </a:graphic>
                </wp:inline>
              </w:drawing>
            </w:r>
          </w:p>
        </w:tc>
      </w:tr>
    </w:tbl>
    <w:p w:rsidR="005108F5" w:rsidRPr="005D2402" w:rsidRDefault="00E81F24" w:rsidP="002623DF">
      <w:pPr>
        <w:rPr>
          <w:rFonts w:ascii="Arial" w:eastAsiaTheme="minorEastAsia" w:hAnsi="Arial" w:cs="Arial"/>
          <w:i/>
          <w:sz w:val="16"/>
          <w:szCs w:val="16"/>
        </w:rPr>
      </w:pPr>
      <w:r w:rsidRPr="005D2402">
        <w:rPr>
          <w:rFonts w:ascii="Arial" w:eastAsiaTheme="minorEastAsia" w:hAnsi="Arial" w:cs="Arial"/>
          <w:i/>
          <w:sz w:val="16"/>
          <w:szCs w:val="16"/>
        </w:rPr>
        <w:t>Apoyó María Oliva Londoño A. P.U. 17/03/2022</w:t>
      </w:r>
    </w:p>
    <w:p w:rsidR="00D015EE" w:rsidRPr="005D2402" w:rsidRDefault="00D015EE" w:rsidP="002623DF">
      <w:pPr>
        <w:rPr>
          <w:rFonts w:ascii="Arial" w:eastAsiaTheme="minorEastAsia" w:hAnsi="Arial" w:cs="Arial"/>
          <w:b/>
          <w:sz w:val="20"/>
          <w:szCs w:val="20"/>
        </w:rPr>
      </w:pPr>
    </w:p>
    <w:sectPr w:rsidR="00D015EE" w:rsidRPr="005D2402" w:rsidSect="00024683">
      <w:headerReference w:type="even" r:id="rId15"/>
      <w:headerReference w:type="default" r:id="rId16"/>
      <w:footerReference w:type="even" r:id="rId17"/>
      <w:footerReference w:type="default" r:id="rId18"/>
      <w:headerReference w:type="first" r:id="rId19"/>
      <w:footerReference w:type="first" r:id="rId20"/>
      <w:pgSz w:w="12242" w:h="19295" w:code="190"/>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29F" w:rsidRDefault="0075629F" w:rsidP="000C4C7E">
      <w:r>
        <w:separator/>
      </w:r>
    </w:p>
  </w:endnote>
  <w:endnote w:type="continuationSeparator" w:id="0">
    <w:p w:rsidR="0075629F" w:rsidRDefault="0075629F"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9F" w:rsidRDefault="0075629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ook w:val="04A0"/>
    </w:tblPr>
    <w:tblGrid>
      <w:gridCol w:w="6036"/>
      <w:gridCol w:w="4879"/>
    </w:tblGrid>
    <w:tr w:rsidR="0075629F" w:rsidRPr="00E25F48" w:rsidTr="00496D83">
      <w:tc>
        <w:tcPr>
          <w:tcW w:w="6036" w:type="dxa"/>
          <w:shd w:val="clear" w:color="auto" w:fill="auto"/>
        </w:tcPr>
        <w:p w:rsidR="0075629F" w:rsidRPr="00E25F48" w:rsidRDefault="0075629F" w:rsidP="00D015EE">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879" w:type="dxa"/>
          <w:shd w:val="clear" w:color="auto" w:fill="auto"/>
        </w:tcPr>
        <w:p w:rsidR="0075629F" w:rsidRPr="00E25F48" w:rsidRDefault="0075629F" w:rsidP="00D015EE">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5629F" w:rsidRDefault="0075629F" w:rsidP="005A4B52">
    <w:pPr>
      <w:pStyle w:val="Piedepgina"/>
    </w:pPr>
  </w:p>
  <w:p w:rsidR="0075629F" w:rsidRDefault="0075629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9F" w:rsidRDefault="0075629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29F" w:rsidRDefault="0075629F" w:rsidP="000C4C7E">
      <w:r>
        <w:separator/>
      </w:r>
    </w:p>
  </w:footnote>
  <w:footnote w:type="continuationSeparator" w:id="0">
    <w:p w:rsidR="0075629F" w:rsidRDefault="0075629F"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9F" w:rsidRDefault="0075629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9F" w:rsidRDefault="0075629F">
    <w:pPr>
      <w:pStyle w:val="Encabezado"/>
    </w:pPr>
    <w:sdt>
      <w:sdtPr>
        <w:id w:val="10197916"/>
        <w:docPartObj>
          <w:docPartGallery w:val="Page Numbers (Margins)"/>
          <w:docPartUnique/>
        </w:docPartObj>
      </w:sdtPr>
      <w:sdtContent>
        <w:r w:rsidRPr="0070340E">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75629F" w:rsidRDefault="0075629F">
                      <w:pPr>
                        <w:pStyle w:val="Encabezado"/>
                        <w:jc w:val="center"/>
                      </w:pPr>
                      <w:r w:rsidRPr="0070340E">
                        <w:fldChar w:fldCharType="begin"/>
                      </w:r>
                      <w:r>
                        <w:instrText xml:space="preserve"> PAGE    \* MERGEFORMAT </w:instrText>
                      </w:r>
                      <w:r w:rsidRPr="0070340E">
                        <w:fldChar w:fldCharType="separate"/>
                      </w:r>
                      <w:r w:rsidR="005D2402" w:rsidRPr="005D2402">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75629F" w:rsidRPr="008920BC" w:rsidTr="008920BC">
      <w:trPr>
        <w:trHeight w:val="369"/>
        <w:jc w:val="center"/>
      </w:trPr>
      <w:tc>
        <w:tcPr>
          <w:tcW w:w="2376" w:type="dxa"/>
          <w:vMerge w:val="restart"/>
        </w:tcPr>
        <w:p w:rsidR="0075629F" w:rsidRPr="008920BC" w:rsidRDefault="0075629F">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75629F" w:rsidRPr="008920BC" w:rsidRDefault="0075629F" w:rsidP="00A25E51">
          <w:pPr>
            <w:jc w:val="center"/>
            <w:rPr>
              <w:rFonts w:ascii="Arial" w:hAnsi="Arial" w:cs="Arial"/>
              <w:b/>
            </w:rPr>
          </w:pPr>
          <w:r w:rsidRPr="007A74AB">
            <w:rPr>
              <w:rFonts w:ascii="Arial" w:hAnsi="Arial" w:cs="Arial"/>
              <w:b/>
              <w:sz w:val="24"/>
              <w:szCs w:val="24"/>
            </w:rPr>
            <w:t>ESTUDIOS PREVIOS PARA ELABOR</w:t>
          </w:r>
          <w:r>
            <w:rPr>
              <w:rFonts w:ascii="Arial" w:hAnsi="Arial" w:cs="Arial"/>
              <w:b/>
              <w:sz w:val="24"/>
              <w:szCs w:val="24"/>
            </w:rPr>
            <w:t>ACIÓN Y SUSCRIPCIÓN DE CONTRATOS</w:t>
          </w:r>
        </w:p>
      </w:tc>
      <w:tc>
        <w:tcPr>
          <w:tcW w:w="2257" w:type="dxa"/>
          <w:vAlign w:val="center"/>
        </w:tcPr>
        <w:p w:rsidR="0075629F" w:rsidRPr="008920BC" w:rsidRDefault="0075629F"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75629F" w:rsidRPr="008920BC" w:rsidTr="008920BC">
      <w:trPr>
        <w:trHeight w:val="392"/>
        <w:jc w:val="center"/>
      </w:trPr>
      <w:tc>
        <w:tcPr>
          <w:tcW w:w="2376" w:type="dxa"/>
          <w:vMerge/>
        </w:tcPr>
        <w:p w:rsidR="0075629F" w:rsidRPr="008920BC" w:rsidRDefault="0075629F">
          <w:pPr>
            <w:pStyle w:val="Encabezado"/>
            <w:rPr>
              <w:rFonts w:ascii="Arial" w:hAnsi="Arial" w:cs="Arial"/>
            </w:rPr>
          </w:pPr>
        </w:p>
      </w:tc>
      <w:tc>
        <w:tcPr>
          <w:tcW w:w="4988" w:type="dxa"/>
          <w:vMerge/>
        </w:tcPr>
        <w:p w:rsidR="0075629F" w:rsidRPr="008920BC" w:rsidRDefault="0075629F">
          <w:pPr>
            <w:pStyle w:val="Encabezado"/>
            <w:rPr>
              <w:rFonts w:ascii="Arial" w:hAnsi="Arial" w:cs="Arial"/>
            </w:rPr>
          </w:pPr>
        </w:p>
      </w:tc>
      <w:tc>
        <w:tcPr>
          <w:tcW w:w="2257" w:type="dxa"/>
          <w:vAlign w:val="center"/>
        </w:tcPr>
        <w:p w:rsidR="0075629F" w:rsidRPr="008920BC" w:rsidRDefault="0075629F"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75629F" w:rsidRPr="008920BC" w:rsidTr="008920BC">
      <w:trPr>
        <w:trHeight w:val="392"/>
        <w:jc w:val="center"/>
      </w:trPr>
      <w:tc>
        <w:tcPr>
          <w:tcW w:w="2376" w:type="dxa"/>
          <w:vMerge/>
        </w:tcPr>
        <w:p w:rsidR="0075629F" w:rsidRPr="008920BC" w:rsidRDefault="0075629F">
          <w:pPr>
            <w:pStyle w:val="Encabezado"/>
            <w:rPr>
              <w:rFonts w:ascii="Arial" w:hAnsi="Arial" w:cs="Arial"/>
            </w:rPr>
          </w:pPr>
        </w:p>
      </w:tc>
      <w:tc>
        <w:tcPr>
          <w:tcW w:w="4988" w:type="dxa"/>
          <w:vMerge/>
        </w:tcPr>
        <w:p w:rsidR="0075629F" w:rsidRPr="008920BC" w:rsidRDefault="0075629F">
          <w:pPr>
            <w:pStyle w:val="Encabezado"/>
            <w:rPr>
              <w:rFonts w:ascii="Arial" w:hAnsi="Arial" w:cs="Arial"/>
            </w:rPr>
          </w:pPr>
        </w:p>
      </w:tc>
      <w:tc>
        <w:tcPr>
          <w:tcW w:w="2257" w:type="dxa"/>
          <w:vAlign w:val="center"/>
        </w:tcPr>
        <w:p w:rsidR="0075629F" w:rsidRPr="008920BC" w:rsidRDefault="0075629F" w:rsidP="00211729">
          <w:pPr>
            <w:pStyle w:val="Encabezado"/>
            <w:rPr>
              <w:rFonts w:ascii="Arial" w:hAnsi="Arial" w:cs="Arial"/>
              <w:b/>
            </w:rPr>
          </w:pPr>
          <w:r w:rsidRPr="008920BC">
            <w:rPr>
              <w:rFonts w:ascii="Arial" w:hAnsi="Arial" w:cs="Arial"/>
              <w:b/>
            </w:rPr>
            <w:t>Fecha:</w:t>
          </w:r>
          <w:r>
            <w:rPr>
              <w:rFonts w:ascii="Arial" w:hAnsi="Arial" w:cs="Arial"/>
            </w:rPr>
            <w:t>24/02/2022</w:t>
          </w:r>
        </w:p>
      </w:tc>
    </w:tr>
  </w:tbl>
  <w:p w:rsidR="0075629F" w:rsidRDefault="0075629F"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29F" w:rsidRDefault="0075629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B7134F0"/>
    <w:multiLevelType w:val="hybridMultilevel"/>
    <w:tmpl w:val="45D0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406537E"/>
    <w:multiLevelType w:val="hybridMultilevel"/>
    <w:tmpl w:val="C2FE0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7"/>
  </w:num>
  <w:num w:numId="5">
    <w:abstractNumId w:val="2"/>
  </w:num>
  <w:num w:numId="6">
    <w:abstractNumId w:val="1"/>
  </w:num>
  <w:num w:numId="7">
    <w:abstractNumId w:val="9"/>
  </w:num>
  <w:num w:numId="8">
    <w:abstractNumId w:val="11"/>
  </w:num>
  <w:num w:numId="9">
    <w:abstractNumId w:val="4"/>
  </w:num>
  <w:num w:numId="10">
    <w:abstractNumId w:val="15"/>
  </w:num>
  <w:num w:numId="11">
    <w:abstractNumId w:val="3"/>
  </w:num>
  <w:num w:numId="12">
    <w:abstractNumId w:val="10"/>
  </w:num>
  <w:num w:numId="13">
    <w:abstractNumId w:val="0"/>
  </w:num>
  <w:num w:numId="14">
    <w:abstractNumId w:val="13"/>
  </w:num>
  <w:num w:numId="15">
    <w:abstractNumId w:val="12"/>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1845"/>
    <w:rsid w:val="00085E35"/>
    <w:rsid w:val="000909DF"/>
    <w:rsid w:val="000977E7"/>
    <w:rsid w:val="000A041C"/>
    <w:rsid w:val="000B1241"/>
    <w:rsid w:val="000C17A0"/>
    <w:rsid w:val="000C4C2B"/>
    <w:rsid w:val="000C4C7E"/>
    <w:rsid w:val="000E28C0"/>
    <w:rsid w:val="000E3D0D"/>
    <w:rsid w:val="000F25EF"/>
    <w:rsid w:val="001026ED"/>
    <w:rsid w:val="001061DE"/>
    <w:rsid w:val="001128B1"/>
    <w:rsid w:val="00123F01"/>
    <w:rsid w:val="00126045"/>
    <w:rsid w:val="001542F2"/>
    <w:rsid w:val="00154974"/>
    <w:rsid w:val="00154BB6"/>
    <w:rsid w:val="001A350E"/>
    <w:rsid w:val="001B6F50"/>
    <w:rsid w:val="001D0B9C"/>
    <w:rsid w:val="001D36AD"/>
    <w:rsid w:val="001D6C9E"/>
    <w:rsid w:val="001D71A4"/>
    <w:rsid w:val="001E06C3"/>
    <w:rsid w:val="00203CDD"/>
    <w:rsid w:val="002060D5"/>
    <w:rsid w:val="00211729"/>
    <w:rsid w:val="00214AC3"/>
    <w:rsid w:val="00220458"/>
    <w:rsid w:val="002316FB"/>
    <w:rsid w:val="002623DF"/>
    <w:rsid w:val="002629C2"/>
    <w:rsid w:val="00263EA7"/>
    <w:rsid w:val="0027021A"/>
    <w:rsid w:val="00283A7E"/>
    <w:rsid w:val="0028635F"/>
    <w:rsid w:val="00287421"/>
    <w:rsid w:val="002874A1"/>
    <w:rsid w:val="00287C86"/>
    <w:rsid w:val="00291F7B"/>
    <w:rsid w:val="002C0D4A"/>
    <w:rsid w:val="002D21F7"/>
    <w:rsid w:val="002E4523"/>
    <w:rsid w:val="002E4C62"/>
    <w:rsid w:val="002E60AD"/>
    <w:rsid w:val="002E66A3"/>
    <w:rsid w:val="003023A7"/>
    <w:rsid w:val="003036EF"/>
    <w:rsid w:val="00306D4A"/>
    <w:rsid w:val="00320453"/>
    <w:rsid w:val="0032158F"/>
    <w:rsid w:val="00324374"/>
    <w:rsid w:val="00333F23"/>
    <w:rsid w:val="00356E70"/>
    <w:rsid w:val="00364416"/>
    <w:rsid w:val="0037430C"/>
    <w:rsid w:val="00377431"/>
    <w:rsid w:val="00396041"/>
    <w:rsid w:val="003A0776"/>
    <w:rsid w:val="003A28DE"/>
    <w:rsid w:val="003A515C"/>
    <w:rsid w:val="003B7B39"/>
    <w:rsid w:val="003C5012"/>
    <w:rsid w:val="003C57F4"/>
    <w:rsid w:val="003D1667"/>
    <w:rsid w:val="003D24A1"/>
    <w:rsid w:val="003F13A5"/>
    <w:rsid w:val="00401934"/>
    <w:rsid w:val="004025A7"/>
    <w:rsid w:val="0041182D"/>
    <w:rsid w:val="004168E3"/>
    <w:rsid w:val="00425167"/>
    <w:rsid w:val="00455ADF"/>
    <w:rsid w:val="004601C9"/>
    <w:rsid w:val="00473AAF"/>
    <w:rsid w:val="00496D83"/>
    <w:rsid w:val="004A4766"/>
    <w:rsid w:val="004C23F6"/>
    <w:rsid w:val="004C2A62"/>
    <w:rsid w:val="004C3E9B"/>
    <w:rsid w:val="004C4A2C"/>
    <w:rsid w:val="004C6568"/>
    <w:rsid w:val="004D6CA6"/>
    <w:rsid w:val="004E67E0"/>
    <w:rsid w:val="00502B23"/>
    <w:rsid w:val="00505984"/>
    <w:rsid w:val="005108F5"/>
    <w:rsid w:val="00525A78"/>
    <w:rsid w:val="005325CC"/>
    <w:rsid w:val="005433F0"/>
    <w:rsid w:val="00547F8A"/>
    <w:rsid w:val="00550C38"/>
    <w:rsid w:val="00561D21"/>
    <w:rsid w:val="005655B0"/>
    <w:rsid w:val="00565A19"/>
    <w:rsid w:val="00573FDD"/>
    <w:rsid w:val="00575829"/>
    <w:rsid w:val="00577FBF"/>
    <w:rsid w:val="00590EB0"/>
    <w:rsid w:val="005A18D8"/>
    <w:rsid w:val="005A4B52"/>
    <w:rsid w:val="005C28C9"/>
    <w:rsid w:val="005D2402"/>
    <w:rsid w:val="005E186C"/>
    <w:rsid w:val="005E778C"/>
    <w:rsid w:val="005F19E0"/>
    <w:rsid w:val="005F1A5E"/>
    <w:rsid w:val="00606D85"/>
    <w:rsid w:val="0060702F"/>
    <w:rsid w:val="00616203"/>
    <w:rsid w:val="00617CAE"/>
    <w:rsid w:val="00624B67"/>
    <w:rsid w:val="00633CC3"/>
    <w:rsid w:val="00635C14"/>
    <w:rsid w:val="006369B0"/>
    <w:rsid w:val="006616BB"/>
    <w:rsid w:val="00662282"/>
    <w:rsid w:val="00662F0D"/>
    <w:rsid w:val="006676B8"/>
    <w:rsid w:val="00677DF7"/>
    <w:rsid w:val="00684CDD"/>
    <w:rsid w:val="006961BB"/>
    <w:rsid w:val="006A35FE"/>
    <w:rsid w:val="006C42E3"/>
    <w:rsid w:val="006C49CC"/>
    <w:rsid w:val="006C644A"/>
    <w:rsid w:val="0070340E"/>
    <w:rsid w:val="0070439C"/>
    <w:rsid w:val="007043A2"/>
    <w:rsid w:val="00705D7D"/>
    <w:rsid w:val="00710214"/>
    <w:rsid w:val="00713E10"/>
    <w:rsid w:val="00726D68"/>
    <w:rsid w:val="0074344B"/>
    <w:rsid w:val="0075010F"/>
    <w:rsid w:val="0075629F"/>
    <w:rsid w:val="007719DD"/>
    <w:rsid w:val="00771D01"/>
    <w:rsid w:val="007871FD"/>
    <w:rsid w:val="00790562"/>
    <w:rsid w:val="007966AC"/>
    <w:rsid w:val="007A3776"/>
    <w:rsid w:val="007B3265"/>
    <w:rsid w:val="007B766A"/>
    <w:rsid w:val="007D7955"/>
    <w:rsid w:val="007E6C9B"/>
    <w:rsid w:val="008008BD"/>
    <w:rsid w:val="00802CD1"/>
    <w:rsid w:val="00822286"/>
    <w:rsid w:val="00823A8F"/>
    <w:rsid w:val="008559F0"/>
    <w:rsid w:val="0086165F"/>
    <w:rsid w:val="00861FB8"/>
    <w:rsid w:val="00864090"/>
    <w:rsid w:val="008733EA"/>
    <w:rsid w:val="00873921"/>
    <w:rsid w:val="00881786"/>
    <w:rsid w:val="00881A74"/>
    <w:rsid w:val="008920BC"/>
    <w:rsid w:val="00897884"/>
    <w:rsid w:val="008A0378"/>
    <w:rsid w:val="008C39C2"/>
    <w:rsid w:val="008C6ED4"/>
    <w:rsid w:val="008E239E"/>
    <w:rsid w:val="008F1E69"/>
    <w:rsid w:val="008F542B"/>
    <w:rsid w:val="009172D7"/>
    <w:rsid w:val="00920F62"/>
    <w:rsid w:val="0092113D"/>
    <w:rsid w:val="00924C75"/>
    <w:rsid w:val="00944D6A"/>
    <w:rsid w:val="00954EA9"/>
    <w:rsid w:val="00957962"/>
    <w:rsid w:val="009610D1"/>
    <w:rsid w:val="00980793"/>
    <w:rsid w:val="009A4B4E"/>
    <w:rsid w:val="009B4B3F"/>
    <w:rsid w:val="009C31BE"/>
    <w:rsid w:val="009C428E"/>
    <w:rsid w:val="009C525E"/>
    <w:rsid w:val="009D694E"/>
    <w:rsid w:val="009E5567"/>
    <w:rsid w:val="009E6BC7"/>
    <w:rsid w:val="00A0353E"/>
    <w:rsid w:val="00A070F3"/>
    <w:rsid w:val="00A25124"/>
    <w:rsid w:val="00A25E51"/>
    <w:rsid w:val="00A33DAF"/>
    <w:rsid w:val="00A57C84"/>
    <w:rsid w:val="00A60056"/>
    <w:rsid w:val="00A646BE"/>
    <w:rsid w:val="00A74C04"/>
    <w:rsid w:val="00A9438A"/>
    <w:rsid w:val="00AC6708"/>
    <w:rsid w:val="00AC7ABE"/>
    <w:rsid w:val="00AD1FC5"/>
    <w:rsid w:val="00AF34EF"/>
    <w:rsid w:val="00B10808"/>
    <w:rsid w:val="00B1456B"/>
    <w:rsid w:val="00B2473A"/>
    <w:rsid w:val="00B27323"/>
    <w:rsid w:val="00B27D04"/>
    <w:rsid w:val="00B33BA1"/>
    <w:rsid w:val="00B528B6"/>
    <w:rsid w:val="00B614D3"/>
    <w:rsid w:val="00B72883"/>
    <w:rsid w:val="00B83AB2"/>
    <w:rsid w:val="00B91FB5"/>
    <w:rsid w:val="00B92D3B"/>
    <w:rsid w:val="00BA7A1C"/>
    <w:rsid w:val="00BB0C7E"/>
    <w:rsid w:val="00BC5723"/>
    <w:rsid w:val="00BC6450"/>
    <w:rsid w:val="00BC7F6F"/>
    <w:rsid w:val="00BD25E7"/>
    <w:rsid w:val="00BD59EB"/>
    <w:rsid w:val="00BE1E5B"/>
    <w:rsid w:val="00BF1DFB"/>
    <w:rsid w:val="00C2001A"/>
    <w:rsid w:val="00C24BCB"/>
    <w:rsid w:val="00C27F0E"/>
    <w:rsid w:val="00C40FFA"/>
    <w:rsid w:val="00C57884"/>
    <w:rsid w:val="00C60632"/>
    <w:rsid w:val="00C70108"/>
    <w:rsid w:val="00C701A4"/>
    <w:rsid w:val="00C70705"/>
    <w:rsid w:val="00C721E3"/>
    <w:rsid w:val="00C7287B"/>
    <w:rsid w:val="00C75B5C"/>
    <w:rsid w:val="00C76291"/>
    <w:rsid w:val="00C7767D"/>
    <w:rsid w:val="00C83947"/>
    <w:rsid w:val="00C83AAA"/>
    <w:rsid w:val="00C85C33"/>
    <w:rsid w:val="00C9344D"/>
    <w:rsid w:val="00CA1643"/>
    <w:rsid w:val="00CB6E06"/>
    <w:rsid w:val="00CB717F"/>
    <w:rsid w:val="00CC1183"/>
    <w:rsid w:val="00CD0A48"/>
    <w:rsid w:val="00CD5D0D"/>
    <w:rsid w:val="00CE035A"/>
    <w:rsid w:val="00D015EE"/>
    <w:rsid w:val="00D01EDF"/>
    <w:rsid w:val="00D20052"/>
    <w:rsid w:val="00D22664"/>
    <w:rsid w:val="00D24CED"/>
    <w:rsid w:val="00D263C0"/>
    <w:rsid w:val="00D269BB"/>
    <w:rsid w:val="00D35D5C"/>
    <w:rsid w:val="00D40143"/>
    <w:rsid w:val="00D46CD5"/>
    <w:rsid w:val="00D5277B"/>
    <w:rsid w:val="00D60F30"/>
    <w:rsid w:val="00D74A27"/>
    <w:rsid w:val="00D76AB6"/>
    <w:rsid w:val="00D9373C"/>
    <w:rsid w:val="00D970D2"/>
    <w:rsid w:val="00DA56DD"/>
    <w:rsid w:val="00DC7B09"/>
    <w:rsid w:val="00DD66D7"/>
    <w:rsid w:val="00DE0394"/>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61A7C"/>
    <w:rsid w:val="00E6221F"/>
    <w:rsid w:val="00E70190"/>
    <w:rsid w:val="00E75C15"/>
    <w:rsid w:val="00E810B0"/>
    <w:rsid w:val="00E814B0"/>
    <w:rsid w:val="00E81F24"/>
    <w:rsid w:val="00E844A9"/>
    <w:rsid w:val="00E8760D"/>
    <w:rsid w:val="00E95807"/>
    <w:rsid w:val="00EA0161"/>
    <w:rsid w:val="00EA1514"/>
    <w:rsid w:val="00EB61B0"/>
    <w:rsid w:val="00EC7E44"/>
    <w:rsid w:val="00ED28EB"/>
    <w:rsid w:val="00EE280A"/>
    <w:rsid w:val="00EE7562"/>
    <w:rsid w:val="00EF00A1"/>
    <w:rsid w:val="00EF593F"/>
    <w:rsid w:val="00EF59BC"/>
    <w:rsid w:val="00F002F0"/>
    <w:rsid w:val="00F0226A"/>
    <w:rsid w:val="00F11D6B"/>
    <w:rsid w:val="00F15B52"/>
    <w:rsid w:val="00F22F8D"/>
    <w:rsid w:val="00F32B38"/>
    <w:rsid w:val="00F44590"/>
    <w:rsid w:val="00F66D9F"/>
    <w:rsid w:val="00F840AB"/>
    <w:rsid w:val="00F90A72"/>
    <w:rsid w:val="00F9200F"/>
    <w:rsid w:val="00FA0AF1"/>
    <w:rsid w:val="00FB1480"/>
    <w:rsid w:val="00FB6536"/>
    <w:rsid w:val="00FD2256"/>
    <w:rsid w:val="00FD4467"/>
    <w:rsid w:val="00FD7C91"/>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semiHidden/>
    <w:unhideWhenUsed/>
    <w:rsid w:val="00BF1DFB"/>
    <w:rPr>
      <w:sz w:val="20"/>
      <w:szCs w:val="20"/>
    </w:rPr>
  </w:style>
  <w:style w:type="character" w:customStyle="1" w:styleId="TextocomentarioCar">
    <w:name w:val="Texto comentario Car"/>
    <w:basedOn w:val="Fuentedeprrafopredeter"/>
    <w:link w:val="Textocomentario"/>
    <w:uiPriority w:val="99"/>
    <w:semiHidden/>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D015EE"/>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437824490">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trabajo.gov.co/prensa/comunicados/2021/diciembre/acuerdo-historico-en-colombia-se-fijo-en-un-millon-de-pesos-el-salario-minimo-para-el-2022-y-auxilio-de-transporte-por-117.172"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gurosdelestado.com/pages/SOAT_Tarif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uperfinanciera.gov.co/jsp/10110176" TargetMode="External"/><Relationship Id="rId14" Type="http://schemas.openxmlformats.org/officeDocument/2006/relationships/image" Target="media/image3.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B68CB-926F-4093-90CB-54CFE57B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2180</Words>
  <Characters>11992</Characters>
  <Application>Microsoft Office Word</Application>
  <DocSecurity>4</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2022-03-18T19:06:00Z</cp:lastPrinted>
  <dcterms:created xsi:type="dcterms:W3CDTF">2022-03-18T19:08:00Z</dcterms:created>
  <dcterms:modified xsi:type="dcterms:W3CDTF">2022-03-18T19:08:00Z</dcterms:modified>
</cp:coreProperties>
</file>