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0" w:type="auto"/>
        <w:tblInd w:w="-34" w:type="dxa"/>
        <w:tblLook w:val="04A0"/>
      </w:tblPr>
      <w:tblGrid>
        <w:gridCol w:w="2785"/>
        <w:gridCol w:w="2822"/>
        <w:gridCol w:w="976"/>
        <w:gridCol w:w="505"/>
        <w:gridCol w:w="1048"/>
        <w:gridCol w:w="1521"/>
      </w:tblGrid>
      <w:tr w:rsidR="002623DF" w:rsidRPr="0080598B" w:rsidTr="00483F87">
        <w:tc>
          <w:tcPr>
            <w:tcW w:w="7043" w:type="dxa"/>
            <w:gridSpan w:val="4"/>
          </w:tcPr>
          <w:p w:rsidR="002623DF" w:rsidRPr="0080598B" w:rsidRDefault="002623DF" w:rsidP="00D015EE">
            <w:pPr>
              <w:rPr>
                <w:rFonts w:ascii="Arial" w:hAnsi="Arial" w:cs="Arial"/>
                <w:sz w:val="20"/>
                <w:szCs w:val="20"/>
              </w:rPr>
            </w:pPr>
            <w:r w:rsidRPr="0080598B">
              <w:rPr>
                <w:rFonts w:ascii="Arial" w:hAnsi="Arial" w:cs="Arial"/>
                <w:sz w:val="20"/>
                <w:szCs w:val="20"/>
              </w:rPr>
              <w:t xml:space="preserve">FECHA DE ELABORACIÓN: </w:t>
            </w:r>
          </w:p>
        </w:tc>
        <w:tc>
          <w:tcPr>
            <w:tcW w:w="2614" w:type="dxa"/>
            <w:gridSpan w:val="2"/>
          </w:tcPr>
          <w:p w:rsidR="002623DF" w:rsidRPr="0080598B" w:rsidRDefault="00D303C3" w:rsidP="00D269BB">
            <w:pPr>
              <w:rPr>
                <w:rFonts w:ascii="Arial" w:hAnsi="Arial" w:cs="Arial"/>
                <w:sz w:val="20"/>
                <w:szCs w:val="20"/>
              </w:rPr>
            </w:pPr>
            <w:r w:rsidRPr="0080598B">
              <w:rPr>
                <w:rFonts w:ascii="Arial" w:hAnsi="Arial" w:cs="Arial"/>
                <w:sz w:val="20"/>
                <w:szCs w:val="20"/>
              </w:rPr>
              <w:t>10/06/2022</w:t>
            </w:r>
          </w:p>
        </w:tc>
      </w:tr>
      <w:tr w:rsidR="002623DF" w:rsidRPr="0080598B" w:rsidTr="00D015EE">
        <w:tc>
          <w:tcPr>
            <w:tcW w:w="9657" w:type="dxa"/>
            <w:gridSpan w:val="6"/>
          </w:tcPr>
          <w:p w:rsidR="002623DF" w:rsidRPr="0080598B" w:rsidRDefault="002623DF" w:rsidP="00D015EE">
            <w:pPr>
              <w:jc w:val="center"/>
              <w:rPr>
                <w:rFonts w:ascii="Arial" w:hAnsi="Arial" w:cs="Arial"/>
                <w:color w:val="333333"/>
                <w:sz w:val="20"/>
                <w:szCs w:val="20"/>
              </w:rPr>
            </w:pPr>
            <w:r w:rsidRPr="0080598B">
              <w:rPr>
                <w:rFonts w:ascii="Arial" w:hAnsi="Arial" w:cs="Arial"/>
                <w:sz w:val="20"/>
                <w:szCs w:val="20"/>
                <w:lang w:val="es-MX"/>
              </w:rPr>
              <w:t>AFECTACIÓN PRESUPUESTAL</w:t>
            </w:r>
          </w:p>
        </w:tc>
      </w:tr>
      <w:tr w:rsidR="00D015EE" w:rsidRPr="0080598B" w:rsidTr="00483F87">
        <w:tc>
          <w:tcPr>
            <w:tcW w:w="2651" w:type="dxa"/>
          </w:tcPr>
          <w:p w:rsidR="00D015EE" w:rsidRPr="0080598B" w:rsidRDefault="00D015EE" w:rsidP="00D015EE">
            <w:pPr>
              <w:jc w:val="center"/>
              <w:rPr>
                <w:rFonts w:ascii="Arial" w:hAnsi="Arial" w:cs="Arial"/>
                <w:sz w:val="20"/>
                <w:szCs w:val="20"/>
                <w:lang w:val="es-MX"/>
              </w:rPr>
            </w:pPr>
            <w:r w:rsidRPr="0080598B">
              <w:rPr>
                <w:rFonts w:ascii="Arial" w:hAnsi="Arial" w:cs="Arial"/>
                <w:sz w:val="20"/>
                <w:szCs w:val="20"/>
                <w:lang w:val="es-MX"/>
              </w:rPr>
              <w:t>Rubro presupuestal</w:t>
            </w:r>
          </w:p>
        </w:tc>
        <w:tc>
          <w:tcPr>
            <w:tcW w:w="2911" w:type="dxa"/>
          </w:tcPr>
          <w:p w:rsidR="00D015EE" w:rsidRPr="0080598B" w:rsidRDefault="00D015EE" w:rsidP="00D015EE">
            <w:pPr>
              <w:jc w:val="center"/>
              <w:rPr>
                <w:rFonts w:ascii="Arial" w:hAnsi="Arial" w:cs="Arial"/>
                <w:sz w:val="20"/>
                <w:szCs w:val="20"/>
                <w:lang w:val="es-MX"/>
              </w:rPr>
            </w:pPr>
            <w:r w:rsidRPr="0080598B">
              <w:rPr>
                <w:rFonts w:ascii="Arial" w:hAnsi="Arial" w:cs="Arial"/>
                <w:sz w:val="20"/>
                <w:szCs w:val="20"/>
                <w:lang w:val="es-MX"/>
              </w:rPr>
              <w:t xml:space="preserve">Nombre </w:t>
            </w:r>
          </w:p>
        </w:tc>
        <w:tc>
          <w:tcPr>
            <w:tcW w:w="976" w:type="dxa"/>
          </w:tcPr>
          <w:p w:rsidR="00D015EE" w:rsidRPr="0080598B" w:rsidRDefault="00D015EE" w:rsidP="00D015EE">
            <w:pPr>
              <w:jc w:val="center"/>
              <w:rPr>
                <w:rFonts w:ascii="Arial" w:hAnsi="Arial" w:cs="Arial"/>
                <w:sz w:val="20"/>
                <w:szCs w:val="20"/>
                <w:lang w:val="es-MX"/>
              </w:rPr>
            </w:pPr>
            <w:r w:rsidRPr="0080598B">
              <w:rPr>
                <w:rFonts w:ascii="Arial" w:hAnsi="Arial" w:cs="Arial"/>
                <w:sz w:val="20"/>
                <w:szCs w:val="20"/>
                <w:lang w:val="es-MX"/>
              </w:rPr>
              <w:t>C.D.P</w:t>
            </w:r>
          </w:p>
        </w:tc>
        <w:tc>
          <w:tcPr>
            <w:tcW w:w="1583" w:type="dxa"/>
            <w:gridSpan w:val="2"/>
          </w:tcPr>
          <w:p w:rsidR="00D015EE" w:rsidRPr="0080598B" w:rsidRDefault="00D015EE" w:rsidP="00D015EE">
            <w:pPr>
              <w:jc w:val="center"/>
              <w:rPr>
                <w:rFonts w:ascii="Arial" w:hAnsi="Arial" w:cs="Arial"/>
                <w:sz w:val="20"/>
                <w:szCs w:val="20"/>
                <w:lang w:val="es-MX"/>
              </w:rPr>
            </w:pPr>
            <w:r w:rsidRPr="0080598B">
              <w:rPr>
                <w:rFonts w:ascii="Arial" w:hAnsi="Arial" w:cs="Arial"/>
                <w:sz w:val="20"/>
                <w:szCs w:val="20"/>
                <w:lang w:val="es-MX"/>
              </w:rPr>
              <w:t xml:space="preserve">Fecha </w:t>
            </w:r>
          </w:p>
        </w:tc>
        <w:tc>
          <w:tcPr>
            <w:tcW w:w="1536" w:type="dxa"/>
          </w:tcPr>
          <w:p w:rsidR="00D015EE" w:rsidRPr="0080598B" w:rsidRDefault="00D015EE" w:rsidP="00D015EE">
            <w:pPr>
              <w:jc w:val="center"/>
              <w:rPr>
                <w:rFonts w:ascii="Arial" w:hAnsi="Arial" w:cs="Arial"/>
                <w:sz w:val="20"/>
                <w:szCs w:val="20"/>
                <w:lang w:val="es-MX"/>
              </w:rPr>
            </w:pPr>
            <w:r w:rsidRPr="0080598B">
              <w:rPr>
                <w:rFonts w:ascii="Arial" w:hAnsi="Arial" w:cs="Arial"/>
                <w:sz w:val="20"/>
                <w:szCs w:val="20"/>
                <w:lang w:val="es-MX"/>
              </w:rPr>
              <w:t>Valor</w:t>
            </w:r>
          </w:p>
        </w:tc>
      </w:tr>
      <w:tr w:rsidR="00483F87" w:rsidRPr="0080598B" w:rsidTr="00483F87">
        <w:tc>
          <w:tcPr>
            <w:tcW w:w="2651" w:type="dxa"/>
            <w:vAlign w:val="bottom"/>
          </w:tcPr>
          <w:p w:rsidR="00483F87" w:rsidRPr="0080598B" w:rsidRDefault="00483F87" w:rsidP="00483F87">
            <w:pPr>
              <w:jc w:val="center"/>
              <w:rPr>
                <w:rFonts w:ascii="Arial" w:hAnsi="Arial" w:cs="Arial"/>
                <w:color w:val="000000"/>
                <w:sz w:val="20"/>
                <w:szCs w:val="20"/>
              </w:rPr>
            </w:pPr>
            <w:r w:rsidRPr="0080598B">
              <w:rPr>
                <w:rFonts w:ascii="Arial" w:hAnsi="Arial" w:cs="Arial"/>
                <w:color w:val="000000"/>
                <w:sz w:val="20"/>
                <w:szCs w:val="20"/>
              </w:rPr>
              <w:t>16.2.1.2.01.01.003.03.01.01-01</w:t>
            </w:r>
          </w:p>
        </w:tc>
        <w:tc>
          <w:tcPr>
            <w:tcW w:w="2911" w:type="dxa"/>
            <w:vAlign w:val="bottom"/>
          </w:tcPr>
          <w:p w:rsidR="00483F87" w:rsidRPr="0080598B" w:rsidRDefault="00483F87" w:rsidP="00483F87">
            <w:pPr>
              <w:jc w:val="center"/>
              <w:rPr>
                <w:rFonts w:ascii="Arial" w:hAnsi="Arial" w:cs="Arial"/>
                <w:color w:val="000000"/>
                <w:sz w:val="20"/>
                <w:szCs w:val="20"/>
              </w:rPr>
            </w:pPr>
            <w:r w:rsidRPr="0080598B">
              <w:rPr>
                <w:rFonts w:ascii="Arial" w:hAnsi="Arial" w:cs="Arial"/>
                <w:color w:val="000000"/>
                <w:sz w:val="20"/>
                <w:szCs w:val="20"/>
              </w:rPr>
              <w:t>MÁQUINAS PARA OFICINA Y CONTABILIDAD, Y SUS PARTES Y ACCESORIOS | MUEBLES Y ENSERES</w:t>
            </w:r>
          </w:p>
        </w:tc>
        <w:tc>
          <w:tcPr>
            <w:tcW w:w="976" w:type="dxa"/>
          </w:tcPr>
          <w:p w:rsidR="00483F87" w:rsidRPr="0080598B" w:rsidRDefault="004F761B" w:rsidP="00D015EE">
            <w:pPr>
              <w:jc w:val="center"/>
              <w:rPr>
                <w:rFonts w:ascii="Arial" w:hAnsi="Arial" w:cs="Arial"/>
                <w:sz w:val="20"/>
                <w:szCs w:val="20"/>
              </w:rPr>
            </w:pPr>
            <w:r>
              <w:rPr>
                <w:rFonts w:ascii="Arial" w:hAnsi="Arial" w:cs="Arial"/>
                <w:sz w:val="20"/>
                <w:szCs w:val="20"/>
              </w:rPr>
              <w:t>1049</w:t>
            </w:r>
          </w:p>
        </w:tc>
        <w:tc>
          <w:tcPr>
            <w:tcW w:w="1583" w:type="dxa"/>
            <w:gridSpan w:val="2"/>
          </w:tcPr>
          <w:p w:rsidR="00483F87" w:rsidRPr="0080598B" w:rsidRDefault="00D303C3" w:rsidP="00483F87">
            <w:pPr>
              <w:jc w:val="center"/>
              <w:rPr>
                <w:rFonts w:ascii="Arial" w:hAnsi="Arial" w:cs="Arial"/>
                <w:sz w:val="20"/>
                <w:szCs w:val="20"/>
                <w:lang w:val="es-MX"/>
              </w:rPr>
            </w:pPr>
            <w:r w:rsidRPr="0080598B">
              <w:rPr>
                <w:rFonts w:ascii="Arial" w:hAnsi="Arial" w:cs="Arial"/>
                <w:sz w:val="20"/>
                <w:szCs w:val="20"/>
                <w:lang w:val="es-MX"/>
              </w:rPr>
              <w:t>10/06/2022</w:t>
            </w:r>
          </w:p>
        </w:tc>
        <w:tc>
          <w:tcPr>
            <w:tcW w:w="1536" w:type="dxa"/>
          </w:tcPr>
          <w:p w:rsidR="00483F87" w:rsidRPr="0080598B" w:rsidRDefault="00D303C3" w:rsidP="00483F87">
            <w:pPr>
              <w:jc w:val="center"/>
              <w:rPr>
                <w:rFonts w:ascii="Arial" w:hAnsi="Arial" w:cs="Arial"/>
                <w:sz w:val="20"/>
                <w:szCs w:val="20"/>
                <w:lang w:val="es-MX"/>
              </w:rPr>
            </w:pPr>
            <w:r w:rsidRPr="0080598B">
              <w:rPr>
                <w:rFonts w:ascii="Arial" w:hAnsi="Arial" w:cs="Arial"/>
                <w:sz w:val="20"/>
                <w:szCs w:val="20"/>
                <w:lang w:val="es-MX"/>
              </w:rPr>
              <w:t>4.000.000</w:t>
            </w:r>
          </w:p>
        </w:tc>
      </w:tr>
      <w:tr w:rsidR="002623DF" w:rsidRPr="0080598B" w:rsidTr="00E1375C">
        <w:trPr>
          <w:trHeight w:val="11171"/>
        </w:trPr>
        <w:tc>
          <w:tcPr>
            <w:tcW w:w="9657" w:type="dxa"/>
            <w:gridSpan w:val="6"/>
          </w:tcPr>
          <w:p w:rsidR="002623DF" w:rsidRPr="0080598B" w:rsidRDefault="002623DF" w:rsidP="00D015EE">
            <w:pPr>
              <w:jc w:val="both"/>
              <w:rPr>
                <w:rFonts w:ascii="Arial" w:hAnsi="Arial" w:cs="Arial"/>
                <w:sz w:val="20"/>
                <w:szCs w:val="20"/>
              </w:rPr>
            </w:pPr>
            <w:r w:rsidRPr="0080598B">
              <w:rPr>
                <w:rFonts w:ascii="Arial" w:hAnsi="Arial" w:cs="Arial"/>
                <w:sz w:val="20"/>
                <w:szCs w:val="20"/>
              </w:rPr>
              <w:t>1.</w:t>
            </w:r>
            <w:r w:rsidRPr="0080598B">
              <w:rPr>
                <w:rFonts w:ascii="Arial" w:hAnsi="Arial" w:cs="Arial"/>
                <w:sz w:val="20"/>
                <w:szCs w:val="20"/>
              </w:rPr>
              <w:tab/>
              <w:t xml:space="preserve">ANTECEDENTES, </w:t>
            </w:r>
            <w:r w:rsidRPr="0080598B">
              <w:rPr>
                <w:rFonts w:ascii="Arial" w:hAnsi="Arial" w:cs="Arial"/>
                <w:sz w:val="20"/>
                <w:szCs w:val="20"/>
                <w:lang w:eastAsia="en-US" w:bidi="en-US"/>
              </w:rPr>
              <w:t xml:space="preserve">CONVENIENCIA, OPORTUNIDAD </w:t>
            </w:r>
            <w:r w:rsidRPr="0080598B">
              <w:rPr>
                <w:rFonts w:ascii="Arial" w:hAnsi="Arial" w:cs="Arial"/>
                <w:sz w:val="20"/>
                <w:szCs w:val="20"/>
              </w:rPr>
              <w:t>Y DEFINICIÓN DE LA NECESIDAD QUE SE ATENDERÁ CON LA PRESENTE CONTRATACIÓN:</w:t>
            </w:r>
          </w:p>
          <w:p w:rsidR="002623DF" w:rsidRPr="0080598B" w:rsidRDefault="002623DF" w:rsidP="00D015EE">
            <w:pPr>
              <w:jc w:val="both"/>
              <w:rPr>
                <w:rFonts w:ascii="Arial" w:hAnsi="Arial" w:cs="Arial"/>
                <w:sz w:val="20"/>
                <w:szCs w:val="20"/>
              </w:rPr>
            </w:pPr>
          </w:p>
          <w:p w:rsidR="001D6C9E" w:rsidRPr="0080598B" w:rsidRDefault="001D6C9E" w:rsidP="001D6C9E">
            <w:pPr>
              <w:jc w:val="both"/>
              <w:rPr>
                <w:rFonts w:ascii="Arial" w:hAnsi="Arial" w:cs="Arial"/>
                <w:sz w:val="20"/>
                <w:szCs w:val="20"/>
              </w:rPr>
            </w:pPr>
          </w:p>
          <w:p w:rsidR="001D6C9E" w:rsidRPr="0080598B" w:rsidRDefault="001D6C9E" w:rsidP="001D6C9E">
            <w:pPr>
              <w:jc w:val="both"/>
              <w:rPr>
                <w:rFonts w:ascii="Arial" w:hAnsi="Arial" w:cs="Arial"/>
                <w:sz w:val="20"/>
                <w:szCs w:val="20"/>
              </w:rPr>
            </w:pPr>
            <w:r w:rsidRPr="0080598B">
              <w:rPr>
                <w:rFonts w:ascii="Arial" w:eastAsiaTheme="minorEastAsia" w:hAnsi="Arial" w:cs="Arial"/>
                <w:sz w:val="20"/>
                <w:szCs w:val="20"/>
              </w:rPr>
              <w:t>En cumplimiento de lo dispuesto en el artículo 25 de la Ley 80 de 1993, en sus numerales 7°y 12°, este último modificado por el artículo 87 de la Ley 1474 de 2011</w:t>
            </w:r>
            <w:r w:rsidRPr="0080598B">
              <w:rPr>
                <w:rFonts w:ascii="Arial" w:eastAsia="DejaVu Sans" w:hAnsi="Arial" w:cs="Arial"/>
                <w:spacing w:val="-3"/>
                <w:kern w:val="1"/>
                <w:sz w:val="20"/>
                <w:szCs w:val="20"/>
                <w:lang w:val="es-ES_tradnl" w:eastAsia="zh-CN"/>
              </w:rPr>
              <w:t xml:space="preserve"> la Ley 1150 </w:t>
            </w:r>
            <w:r w:rsidRPr="0080598B">
              <w:rPr>
                <w:rFonts w:ascii="Arial" w:eastAsia="DejaVu Sans" w:hAnsi="Arial" w:cs="Arial"/>
                <w:kern w:val="1"/>
                <w:sz w:val="20"/>
                <w:szCs w:val="20"/>
                <w:lang w:val="es-ES_tradnl" w:eastAsia="zh-CN"/>
              </w:rPr>
              <w:t>y el Decreto 1082 de 2015</w:t>
            </w:r>
            <w:r w:rsidRPr="0080598B">
              <w:rPr>
                <w:rFonts w:ascii="Arial" w:eastAsiaTheme="minorEastAsia" w:hAnsi="Arial" w:cs="Arial"/>
                <w:sz w:val="20"/>
                <w:szCs w:val="20"/>
              </w:rPr>
              <w:t>, la Personería Municipal de Itagüí, se permite realizar el análisis para la conveniencia y oportunidad de la presente contratación</w:t>
            </w:r>
          </w:p>
          <w:p w:rsidR="00483F87" w:rsidRPr="0080598B" w:rsidRDefault="00483F87" w:rsidP="00483F87">
            <w:pPr>
              <w:jc w:val="both"/>
              <w:rPr>
                <w:rFonts w:ascii="Arial" w:hAnsi="Arial" w:cs="Arial"/>
                <w:sz w:val="20"/>
                <w:szCs w:val="20"/>
                <w:lang w:val="es-ES"/>
              </w:rPr>
            </w:pPr>
          </w:p>
          <w:p w:rsidR="00821E06" w:rsidRPr="0080598B" w:rsidRDefault="00483F87" w:rsidP="00483F87">
            <w:pPr>
              <w:jc w:val="both"/>
              <w:rPr>
                <w:rFonts w:ascii="Arial" w:hAnsi="Arial" w:cs="Arial"/>
                <w:sz w:val="20"/>
                <w:szCs w:val="20"/>
                <w:lang w:val="es-ES"/>
              </w:rPr>
            </w:pPr>
            <w:r w:rsidRPr="0080598B">
              <w:rPr>
                <w:rFonts w:ascii="Arial" w:hAnsi="Arial" w:cs="Arial"/>
                <w:sz w:val="20"/>
                <w:szCs w:val="20"/>
                <w:lang w:val="es-ES"/>
              </w:rPr>
              <w:t xml:space="preserve">El presente estudio tiene como fin justificar la necesidad de la adquisición de varios productos requeridos </w:t>
            </w:r>
            <w:r w:rsidR="00821E06" w:rsidRPr="0080598B">
              <w:rPr>
                <w:rFonts w:ascii="Arial" w:hAnsi="Arial" w:cs="Arial"/>
                <w:sz w:val="20"/>
                <w:szCs w:val="20"/>
                <w:lang w:val="es-ES"/>
              </w:rPr>
              <w:t>en la Entidad, tales como:</w:t>
            </w:r>
          </w:p>
          <w:p w:rsidR="00821E06" w:rsidRPr="0080598B" w:rsidRDefault="00821E06" w:rsidP="00483F87">
            <w:pPr>
              <w:jc w:val="both"/>
              <w:rPr>
                <w:rFonts w:ascii="Arial" w:hAnsi="Arial" w:cs="Arial"/>
                <w:sz w:val="20"/>
                <w:szCs w:val="20"/>
                <w:lang w:val="es-ES"/>
              </w:rPr>
            </w:pPr>
          </w:p>
          <w:p w:rsidR="00821E06" w:rsidRPr="0080598B" w:rsidRDefault="00821E06" w:rsidP="00821E06">
            <w:pPr>
              <w:pStyle w:val="Prrafodelista"/>
              <w:numPr>
                <w:ilvl w:val="0"/>
                <w:numId w:val="18"/>
              </w:numPr>
              <w:jc w:val="both"/>
              <w:rPr>
                <w:rFonts w:ascii="Arial" w:hAnsi="Arial" w:cs="Arial"/>
                <w:sz w:val="20"/>
                <w:szCs w:val="20"/>
                <w:lang w:val="es-ES"/>
              </w:rPr>
            </w:pPr>
            <w:r w:rsidRPr="0080598B">
              <w:rPr>
                <w:rFonts w:ascii="Arial" w:hAnsi="Arial" w:cs="Arial"/>
                <w:sz w:val="20"/>
                <w:szCs w:val="20"/>
                <w:lang w:val="es-ES"/>
              </w:rPr>
              <w:t>16 descansa pies</w:t>
            </w:r>
          </w:p>
          <w:p w:rsidR="00821E06" w:rsidRPr="0080598B" w:rsidRDefault="00821E06" w:rsidP="00821E06">
            <w:pPr>
              <w:pStyle w:val="Prrafodelista"/>
              <w:numPr>
                <w:ilvl w:val="0"/>
                <w:numId w:val="18"/>
              </w:numPr>
              <w:jc w:val="both"/>
              <w:rPr>
                <w:rFonts w:ascii="Arial" w:hAnsi="Arial" w:cs="Arial"/>
                <w:sz w:val="20"/>
                <w:szCs w:val="20"/>
                <w:lang w:val="es-ES"/>
              </w:rPr>
            </w:pPr>
            <w:r w:rsidRPr="0080598B">
              <w:rPr>
                <w:rFonts w:ascii="Arial" w:hAnsi="Arial" w:cs="Arial"/>
                <w:sz w:val="20"/>
                <w:szCs w:val="20"/>
                <w:lang w:val="es-ES"/>
              </w:rPr>
              <w:t>8 sillas ergonómicas</w:t>
            </w:r>
          </w:p>
          <w:p w:rsidR="00821E06" w:rsidRPr="0080598B" w:rsidRDefault="00821E06" w:rsidP="00821E06">
            <w:pPr>
              <w:jc w:val="both"/>
              <w:rPr>
                <w:rFonts w:ascii="Arial" w:hAnsi="Arial" w:cs="Arial"/>
                <w:sz w:val="20"/>
                <w:szCs w:val="20"/>
                <w:lang w:val="es-ES"/>
              </w:rPr>
            </w:pPr>
          </w:p>
          <w:p w:rsidR="009C5861" w:rsidRPr="0080598B" w:rsidRDefault="00483F87" w:rsidP="00483F87">
            <w:pPr>
              <w:jc w:val="both"/>
              <w:rPr>
                <w:rFonts w:ascii="Arial" w:hAnsi="Arial" w:cs="Arial"/>
                <w:color w:val="666666"/>
                <w:sz w:val="20"/>
                <w:szCs w:val="20"/>
                <w:shd w:val="clear" w:color="auto" w:fill="FFFFFF"/>
              </w:rPr>
            </w:pPr>
            <w:r w:rsidRPr="0080598B">
              <w:rPr>
                <w:rFonts w:ascii="Arial" w:hAnsi="Arial" w:cs="Arial"/>
                <w:sz w:val="20"/>
                <w:szCs w:val="20"/>
                <w:lang w:val="es-ES"/>
              </w:rPr>
              <w:t>Es importante tener en cuenta que cuando se tiene un óptimo clima organizacional, con un ambiente amigable y acogedor, permite que tanto los funcionarios como los usuarios de los servicios de la personería se apropien del espacio y tengan sentido de pertenencia con la Entidad con la que se trabaja y que presta sus servicios a la comunidad.</w:t>
            </w:r>
            <w:r w:rsidR="002B22FC" w:rsidRPr="0080598B">
              <w:rPr>
                <w:rFonts w:ascii="Arial" w:hAnsi="Arial" w:cs="Arial"/>
                <w:sz w:val="20"/>
                <w:szCs w:val="20"/>
                <w:lang w:val="es-ES"/>
              </w:rPr>
              <w:t xml:space="preserve">  </w:t>
            </w:r>
            <w:r w:rsidR="00B901B5" w:rsidRPr="0080598B">
              <w:rPr>
                <w:rFonts w:ascii="Arial" w:hAnsi="Arial" w:cs="Arial"/>
                <w:sz w:val="20"/>
                <w:szCs w:val="20"/>
                <w:lang w:val="es-ES"/>
              </w:rPr>
              <w:t>Con la adquisición de los 16 descansa pies</w:t>
            </w:r>
            <w:r w:rsidR="00E1375C" w:rsidRPr="0080598B">
              <w:rPr>
                <w:rFonts w:ascii="Arial" w:hAnsi="Arial" w:cs="Arial"/>
                <w:sz w:val="20"/>
                <w:szCs w:val="20"/>
                <w:lang w:val="es-ES"/>
              </w:rPr>
              <w:t xml:space="preserve"> y</w:t>
            </w:r>
            <w:r w:rsidR="00B901B5" w:rsidRPr="0080598B">
              <w:rPr>
                <w:rFonts w:ascii="Arial" w:hAnsi="Arial" w:cs="Arial"/>
                <w:sz w:val="20"/>
                <w:szCs w:val="20"/>
                <w:lang w:val="es-ES"/>
              </w:rPr>
              <w:t xml:space="preserve"> las 8 sillas ergonómicas, permiten dar cumplimiento a los requerimientos de seguridad y salud en el trabajo.</w:t>
            </w:r>
            <w:r w:rsidR="009C5861" w:rsidRPr="0080598B">
              <w:rPr>
                <w:rFonts w:ascii="Arial" w:hAnsi="Arial" w:cs="Arial"/>
                <w:sz w:val="20"/>
                <w:szCs w:val="20"/>
                <w:shd w:val="clear" w:color="auto" w:fill="FFFFFF"/>
              </w:rPr>
              <w:t xml:space="preserve"> Con el cumplimiento del  SG-SST se mejora el ambiente de trabajo, el bienestar y la calidad de vida laboral, la disminución de las tasas de ausentismo por enfermedad</w:t>
            </w:r>
            <w:r w:rsidR="00E1375C" w:rsidRPr="0080598B">
              <w:rPr>
                <w:rFonts w:ascii="Arial" w:hAnsi="Arial" w:cs="Arial"/>
                <w:sz w:val="20"/>
                <w:szCs w:val="20"/>
                <w:shd w:val="clear" w:color="auto" w:fill="FFFFFF"/>
              </w:rPr>
              <w:t xml:space="preserve"> y</w:t>
            </w:r>
            <w:r w:rsidR="009C5861" w:rsidRPr="0080598B">
              <w:rPr>
                <w:rFonts w:ascii="Arial" w:hAnsi="Arial" w:cs="Arial"/>
                <w:sz w:val="20"/>
                <w:szCs w:val="20"/>
                <w:shd w:val="clear" w:color="auto" w:fill="FFFFFF"/>
              </w:rPr>
              <w:t xml:space="preserve"> el aumento de la productividad. Además, velar por el cumplimiento efectivo de las normas, requisitos y procedimientos de obligatorio cumplimiento por parte de la Personería en materia de riesgos laborales.</w:t>
            </w:r>
          </w:p>
          <w:p w:rsidR="009C5861" w:rsidRPr="0080598B" w:rsidRDefault="009C5861" w:rsidP="00483F87">
            <w:pPr>
              <w:jc w:val="both"/>
              <w:rPr>
                <w:rFonts w:ascii="Arial" w:hAnsi="Arial" w:cs="Arial"/>
                <w:sz w:val="20"/>
                <w:szCs w:val="20"/>
                <w:lang w:val="es-ES"/>
              </w:rPr>
            </w:pPr>
          </w:p>
          <w:p w:rsidR="00AF6944" w:rsidRPr="0080598B" w:rsidRDefault="00AF6944" w:rsidP="009C5861">
            <w:pPr>
              <w:pStyle w:val="NormalWeb"/>
              <w:jc w:val="both"/>
              <w:rPr>
                <w:rFonts w:ascii="Arial" w:hAnsi="Arial" w:cs="Arial"/>
                <w:bCs/>
                <w:sz w:val="20"/>
                <w:szCs w:val="20"/>
                <w:lang w:val="es-CO"/>
              </w:rPr>
            </w:pPr>
            <w:r w:rsidRPr="0080598B">
              <w:rPr>
                <w:rFonts w:ascii="Arial" w:hAnsi="Arial" w:cs="Arial"/>
                <w:bCs/>
                <w:sz w:val="20"/>
                <w:szCs w:val="20"/>
                <w:lang w:val="es-CO"/>
              </w:rPr>
              <w:t>Las necesidades descritas están enmarcadas en el PLAN ESTRATÉGICO INSTITUCIONAL 2021-2024:</w:t>
            </w:r>
          </w:p>
          <w:p w:rsidR="00483F87" w:rsidRPr="0080598B" w:rsidRDefault="00E1375C" w:rsidP="00483F87">
            <w:pPr>
              <w:pStyle w:val="NormalWeb"/>
              <w:jc w:val="both"/>
              <w:rPr>
                <w:rFonts w:ascii="Arial" w:hAnsi="Arial" w:cs="Arial"/>
                <w:bCs/>
                <w:sz w:val="20"/>
                <w:szCs w:val="20"/>
              </w:rPr>
            </w:pPr>
            <w:r w:rsidRPr="0080598B">
              <w:rPr>
                <w:rFonts w:ascii="Arial" w:hAnsi="Arial" w:cs="Arial"/>
                <w:sz w:val="20"/>
                <w:szCs w:val="20"/>
              </w:rPr>
              <w:object w:dxaOrig="9735" w:dyaOrig="5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9pt;height:196.05pt" o:ole="">
                  <v:imagedata r:id="rId8" o:title=""/>
                </v:shape>
                <o:OLEObject Type="Embed" ProgID="PBrush" ShapeID="_x0000_i1025" DrawAspect="Content" ObjectID="_1716366629" r:id="rId9"/>
              </w:object>
            </w:r>
          </w:p>
          <w:p w:rsidR="002623DF" w:rsidRPr="0080598B" w:rsidRDefault="002623DF" w:rsidP="00D015EE">
            <w:pPr>
              <w:jc w:val="both"/>
              <w:rPr>
                <w:rFonts w:ascii="Arial" w:hAnsi="Arial" w:cs="Arial"/>
                <w:sz w:val="20"/>
                <w:szCs w:val="20"/>
              </w:rPr>
            </w:pPr>
          </w:p>
        </w:tc>
      </w:tr>
      <w:tr w:rsidR="002623DF" w:rsidRPr="0080598B" w:rsidTr="00D015EE">
        <w:tc>
          <w:tcPr>
            <w:tcW w:w="9657" w:type="dxa"/>
            <w:gridSpan w:val="6"/>
          </w:tcPr>
          <w:p w:rsidR="002623DF" w:rsidRPr="0080598B" w:rsidRDefault="002623DF" w:rsidP="00D015EE">
            <w:pPr>
              <w:jc w:val="both"/>
              <w:rPr>
                <w:rFonts w:ascii="Arial" w:hAnsi="Arial" w:cs="Arial"/>
                <w:sz w:val="20"/>
                <w:szCs w:val="20"/>
              </w:rPr>
            </w:pPr>
            <w:r w:rsidRPr="0080598B">
              <w:rPr>
                <w:rFonts w:ascii="Arial" w:hAnsi="Arial" w:cs="Arial"/>
                <w:sz w:val="20"/>
                <w:szCs w:val="20"/>
              </w:rPr>
              <w:lastRenderedPageBreak/>
              <w:t>2.</w:t>
            </w:r>
            <w:r w:rsidRPr="0080598B">
              <w:rPr>
                <w:rFonts w:ascii="Arial" w:hAnsi="Arial" w:cs="Arial"/>
                <w:sz w:val="20"/>
                <w:szCs w:val="20"/>
              </w:rPr>
              <w:tab/>
              <w:t>OBJETO DEL CONTRATO:</w:t>
            </w:r>
          </w:p>
          <w:p w:rsidR="002623DF" w:rsidRPr="0080598B" w:rsidRDefault="002623DF" w:rsidP="00D015EE">
            <w:pPr>
              <w:jc w:val="both"/>
              <w:rPr>
                <w:rFonts w:ascii="Arial" w:hAnsi="Arial" w:cs="Arial"/>
                <w:sz w:val="20"/>
                <w:szCs w:val="20"/>
              </w:rPr>
            </w:pPr>
          </w:p>
          <w:p w:rsidR="002623DF" w:rsidRPr="0080598B" w:rsidRDefault="009E5567" w:rsidP="00D015EE">
            <w:pPr>
              <w:jc w:val="both"/>
              <w:rPr>
                <w:rFonts w:ascii="Arial" w:hAnsi="Arial" w:cs="Arial"/>
                <w:sz w:val="20"/>
                <w:szCs w:val="20"/>
              </w:rPr>
            </w:pPr>
            <w:r w:rsidRPr="0080598B">
              <w:rPr>
                <w:rFonts w:ascii="Arial" w:hAnsi="Arial" w:cs="Arial"/>
                <w:sz w:val="20"/>
                <w:szCs w:val="20"/>
              </w:rPr>
              <w:t xml:space="preserve">ADQUISICIÓN </w:t>
            </w:r>
            <w:r w:rsidR="00AF6944" w:rsidRPr="0080598B">
              <w:rPr>
                <w:rFonts w:ascii="Arial" w:hAnsi="Arial" w:cs="Arial"/>
                <w:sz w:val="20"/>
                <w:szCs w:val="20"/>
              </w:rPr>
              <w:t>DE:</w:t>
            </w:r>
          </w:p>
          <w:p w:rsidR="00AF6944" w:rsidRPr="0080598B" w:rsidRDefault="00AF6944" w:rsidP="00D015EE">
            <w:pPr>
              <w:jc w:val="both"/>
              <w:rPr>
                <w:rFonts w:ascii="Arial" w:hAnsi="Arial" w:cs="Arial"/>
                <w:sz w:val="20"/>
                <w:szCs w:val="20"/>
              </w:rPr>
            </w:pPr>
          </w:p>
          <w:tbl>
            <w:tblPr>
              <w:tblW w:w="9243" w:type="dxa"/>
              <w:tblCellMar>
                <w:left w:w="70" w:type="dxa"/>
                <w:right w:w="70" w:type="dxa"/>
              </w:tblCellMar>
              <w:tblLook w:val="04A0"/>
            </w:tblPr>
            <w:tblGrid>
              <w:gridCol w:w="640"/>
              <w:gridCol w:w="2120"/>
              <w:gridCol w:w="1200"/>
              <w:gridCol w:w="5283"/>
            </w:tblGrid>
            <w:tr w:rsidR="00AF6944" w:rsidRPr="0080598B" w:rsidTr="0080598B">
              <w:trPr>
                <w:trHeight w:val="416"/>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6944" w:rsidRPr="0080598B" w:rsidRDefault="00AF6944">
                  <w:pPr>
                    <w:rPr>
                      <w:rFonts w:ascii="Arial" w:hAnsi="Arial" w:cs="Arial"/>
                      <w:color w:val="000000"/>
                      <w:sz w:val="20"/>
                      <w:szCs w:val="20"/>
                    </w:rPr>
                  </w:pPr>
                  <w:r w:rsidRPr="0080598B">
                    <w:rPr>
                      <w:rFonts w:ascii="Arial" w:hAnsi="Arial" w:cs="Arial"/>
                      <w:color w:val="000000"/>
                      <w:sz w:val="20"/>
                      <w:szCs w:val="20"/>
                    </w:rPr>
                    <w:t>ITEM</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rsidR="00AF6944" w:rsidRPr="0080598B" w:rsidRDefault="00AF6944">
                  <w:pPr>
                    <w:jc w:val="center"/>
                    <w:rPr>
                      <w:rFonts w:ascii="Arial" w:hAnsi="Arial" w:cs="Arial"/>
                      <w:b/>
                      <w:bCs/>
                      <w:color w:val="000000"/>
                      <w:sz w:val="20"/>
                      <w:szCs w:val="20"/>
                    </w:rPr>
                  </w:pPr>
                  <w:r w:rsidRPr="0080598B">
                    <w:rPr>
                      <w:rFonts w:ascii="Arial" w:hAnsi="Arial" w:cs="Arial"/>
                      <w:b/>
                      <w:bCs/>
                      <w:color w:val="000000"/>
                      <w:sz w:val="20"/>
                      <w:szCs w:val="20"/>
                    </w:rPr>
                    <w:t>ARTÍCULO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AF6944" w:rsidRPr="0080598B" w:rsidRDefault="00AF6944">
                  <w:pPr>
                    <w:jc w:val="center"/>
                    <w:rPr>
                      <w:rFonts w:ascii="Arial" w:hAnsi="Arial" w:cs="Arial"/>
                      <w:b/>
                      <w:bCs/>
                      <w:color w:val="000000"/>
                      <w:sz w:val="20"/>
                      <w:szCs w:val="20"/>
                    </w:rPr>
                  </w:pPr>
                  <w:r w:rsidRPr="0080598B">
                    <w:rPr>
                      <w:rFonts w:ascii="Arial" w:hAnsi="Arial" w:cs="Arial"/>
                      <w:b/>
                      <w:bCs/>
                      <w:color w:val="000000"/>
                      <w:sz w:val="20"/>
                      <w:szCs w:val="20"/>
                    </w:rPr>
                    <w:t>CANTIDAD</w:t>
                  </w:r>
                </w:p>
              </w:tc>
              <w:tc>
                <w:tcPr>
                  <w:tcW w:w="5283" w:type="dxa"/>
                  <w:tcBorders>
                    <w:top w:val="single" w:sz="4" w:space="0" w:color="auto"/>
                    <w:left w:val="nil"/>
                    <w:bottom w:val="single" w:sz="4" w:space="0" w:color="auto"/>
                    <w:right w:val="single" w:sz="4" w:space="0" w:color="auto"/>
                  </w:tcBorders>
                  <w:shd w:val="clear" w:color="auto" w:fill="auto"/>
                  <w:vAlign w:val="bottom"/>
                  <w:hideMark/>
                </w:tcPr>
                <w:p w:rsidR="00AF6944" w:rsidRPr="0080598B" w:rsidRDefault="00BC677D">
                  <w:pPr>
                    <w:jc w:val="center"/>
                    <w:rPr>
                      <w:rFonts w:ascii="Arial" w:hAnsi="Arial" w:cs="Arial"/>
                      <w:b/>
                      <w:bCs/>
                      <w:color w:val="000000"/>
                      <w:sz w:val="20"/>
                      <w:szCs w:val="20"/>
                    </w:rPr>
                  </w:pPr>
                  <w:r w:rsidRPr="0080598B">
                    <w:rPr>
                      <w:rFonts w:ascii="Arial" w:hAnsi="Arial" w:cs="Arial"/>
                      <w:b/>
                      <w:bCs/>
                      <w:color w:val="000000"/>
                      <w:sz w:val="20"/>
                      <w:szCs w:val="20"/>
                    </w:rPr>
                    <w:t>ESPECIFICACIONES TÉCNICAS</w:t>
                  </w:r>
                </w:p>
              </w:tc>
            </w:tr>
            <w:tr w:rsidR="00AF6944" w:rsidRPr="0080598B" w:rsidTr="00BC677D">
              <w:trPr>
                <w:trHeight w:val="47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F6944" w:rsidRPr="0080598B" w:rsidRDefault="00AF6944" w:rsidP="00BC677D">
                  <w:pPr>
                    <w:jc w:val="center"/>
                    <w:rPr>
                      <w:rFonts w:ascii="Arial" w:hAnsi="Arial" w:cs="Arial"/>
                      <w:color w:val="000000"/>
                      <w:sz w:val="20"/>
                      <w:szCs w:val="20"/>
                    </w:rPr>
                  </w:pPr>
                  <w:r w:rsidRPr="0080598B">
                    <w:rPr>
                      <w:rFonts w:ascii="Arial" w:hAnsi="Arial" w:cs="Arial"/>
                      <w:color w:val="000000"/>
                      <w:sz w:val="20"/>
                      <w:szCs w:val="20"/>
                    </w:rPr>
                    <w:t>1</w:t>
                  </w:r>
                </w:p>
              </w:tc>
              <w:tc>
                <w:tcPr>
                  <w:tcW w:w="2120" w:type="dxa"/>
                  <w:tcBorders>
                    <w:top w:val="nil"/>
                    <w:left w:val="nil"/>
                    <w:bottom w:val="single" w:sz="4" w:space="0" w:color="auto"/>
                    <w:right w:val="single" w:sz="4" w:space="0" w:color="auto"/>
                  </w:tcBorders>
                  <w:shd w:val="clear" w:color="auto" w:fill="auto"/>
                  <w:noWrap/>
                  <w:vAlign w:val="center"/>
                  <w:hideMark/>
                </w:tcPr>
                <w:p w:rsidR="00AF6944" w:rsidRPr="0080598B" w:rsidRDefault="00BC677D" w:rsidP="00BC677D">
                  <w:pPr>
                    <w:jc w:val="center"/>
                    <w:rPr>
                      <w:rFonts w:ascii="Arial" w:hAnsi="Arial" w:cs="Arial"/>
                      <w:color w:val="000000"/>
                      <w:sz w:val="20"/>
                      <w:szCs w:val="20"/>
                    </w:rPr>
                  </w:pPr>
                  <w:r w:rsidRPr="0080598B">
                    <w:rPr>
                      <w:rFonts w:ascii="Arial" w:hAnsi="Arial" w:cs="Arial"/>
                      <w:color w:val="000000"/>
                      <w:sz w:val="20"/>
                      <w:szCs w:val="20"/>
                    </w:rPr>
                    <w:t>Descansa pies</w:t>
                  </w:r>
                </w:p>
              </w:tc>
              <w:tc>
                <w:tcPr>
                  <w:tcW w:w="1200" w:type="dxa"/>
                  <w:tcBorders>
                    <w:top w:val="nil"/>
                    <w:left w:val="nil"/>
                    <w:bottom w:val="single" w:sz="4" w:space="0" w:color="auto"/>
                    <w:right w:val="single" w:sz="4" w:space="0" w:color="auto"/>
                  </w:tcBorders>
                  <w:shd w:val="clear" w:color="auto" w:fill="auto"/>
                  <w:noWrap/>
                  <w:vAlign w:val="center"/>
                  <w:hideMark/>
                </w:tcPr>
                <w:p w:rsidR="00AF6944" w:rsidRPr="0080598B" w:rsidRDefault="00AF6944" w:rsidP="00BC677D">
                  <w:pPr>
                    <w:jc w:val="center"/>
                    <w:rPr>
                      <w:rFonts w:ascii="Arial" w:hAnsi="Arial" w:cs="Arial"/>
                      <w:color w:val="000000"/>
                      <w:sz w:val="20"/>
                      <w:szCs w:val="20"/>
                    </w:rPr>
                  </w:pPr>
                  <w:r w:rsidRPr="0080598B">
                    <w:rPr>
                      <w:rFonts w:ascii="Arial" w:hAnsi="Arial" w:cs="Arial"/>
                      <w:color w:val="000000"/>
                      <w:sz w:val="20"/>
                      <w:szCs w:val="20"/>
                    </w:rPr>
                    <w:t>16</w:t>
                  </w:r>
                </w:p>
              </w:tc>
              <w:tc>
                <w:tcPr>
                  <w:tcW w:w="5283" w:type="dxa"/>
                  <w:tcBorders>
                    <w:top w:val="nil"/>
                    <w:left w:val="nil"/>
                    <w:bottom w:val="single" w:sz="4" w:space="0" w:color="auto"/>
                    <w:right w:val="single" w:sz="4" w:space="0" w:color="auto"/>
                  </w:tcBorders>
                  <w:shd w:val="clear" w:color="auto" w:fill="auto"/>
                  <w:noWrap/>
                  <w:vAlign w:val="center"/>
                  <w:hideMark/>
                </w:tcPr>
                <w:p w:rsidR="00BC677D" w:rsidRPr="0080598B" w:rsidRDefault="00BC677D" w:rsidP="00BC677D">
                  <w:pPr>
                    <w:numPr>
                      <w:ilvl w:val="0"/>
                      <w:numId w:val="19"/>
                    </w:numPr>
                    <w:shd w:val="clear" w:color="auto" w:fill="FFFFFF"/>
                    <w:spacing w:after="90"/>
                    <w:textAlignment w:val="baseline"/>
                    <w:rPr>
                      <w:rFonts w:ascii="Arial" w:hAnsi="Arial" w:cs="Arial"/>
                      <w:color w:val="141414"/>
                      <w:sz w:val="20"/>
                      <w:szCs w:val="20"/>
                    </w:rPr>
                  </w:pPr>
                  <w:r w:rsidRPr="0080598B">
                    <w:rPr>
                      <w:rFonts w:ascii="Arial" w:hAnsi="Arial" w:cs="Arial"/>
                      <w:color w:val="141414"/>
                      <w:sz w:val="20"/>
                      <w:szCs w:val="20"/>
                    </w:rPr>
                    <w:t>Diseño ergonómico que reduce la tensión  muscular y fatiga.</w:t>
                  </w:r>
                </w:p>
                <w:p w:rsidR="00BC677D" w:rsidRPr="0080598B" w:rsidRDefault="00BC677D" w:rsidP="00BC677D">
                  <w:pPr>
                    <w:numPr>
                      <w:ilvl w:val="0"/>
                      <w:numId w:val="19"/>
                    </w:numPr>
                    <w:shd w:val="clear" w:color="auto" w:fill="FFFFFF"/>
                    <w:spacing w:after="90"/>
                    <w:textAlignment w:val="baseline"/>
                    <w:rPr>
                      <w:rFonts w:ascii="Arial" w:hAnsi="Arial" w:cs="Arial"/>
                      <w:color w:val="141414"/>
                      <w:sz w:val="20"/>
                      <w:szCs w:val="20"/>
                    </w:rPr>
                  </w:pPr>
                  <w:r w:rsidRPr="0080598B">
                    <w:rPr>
                      <w:rFonts w:ascii="Arial" w:hAnsi="Arial" w:cs="Arial"/>
                      <w:color w:val="141414"/>
                      <w:sz w:val="20"/>
                      <w:szCs w:val="20"/>
                    </w:rPr>
                    <w:t>Dimensiones plataforma: 45 cm x 33.6 cm.</w:t>
                  </w:r>
                </w:p>
                <w:p w:rsidR="00BC677D" w:rsidRPr="0080598B" w:rsidRDefault="00BC677D" w:rsidP="00BC677D">
                  <w:pPr>
                    <w:numPr>
                      <w:ilvl w:val="0"/>
                      <w:numId w:val="19"/>
                    </w:numPr>
                    <w:shd w:val="clear" w:color="auto" w:fill="FFFFFF"/>
                    <w:spacing w:after="90"/>
                    <w:textAlignment w:val="baseline"/>
                    <w:rPr>
                      <w:rFonts w:ascii="Arial" w:hAnsi="Arial" w:cs="Arial"/>
                      <w:color w:val="141414"/>
                      <w:sz w:val="20"/>
                      <w:szCs w:val="20"/>
                    </w:rPr>
                  </w:pPr>
                  <w:r w:rsidRPr="0080598B">
                    <w:rPr>
                      <w:rFonts w:ascii="Arial" w:hAnsi="Arial" w:cs="Arial"/>
                      <w:color w:val="141414"/>
                      <w:sz w:val="20"/>
                      <w:szCs w:val="20"/>
                    </w:rPr>
                    <w:t xml:space="preserve">Altura única de 9.2 </w:t>
                  </w:r>
                  <w:proofErr w:type="spellStart"/>
                  <w:r w:rsidRPr="0080598B">
                    <w:rPr>
                      <w:rFonts w:ascii="Arial" w:hAnsi="Arial" w:cs="Arial"/>
                      <w:color w:val="141414"/>
                      <w:sz w:val="20"/>
                      <w:szCs w:val="20"/>
                    </w:rPr>
                    <w:t>cms.</w:t>
                  </w:r>
                  <w:proofErr w:type="spellEnd"/>
                </w:p>
                <w:p w:rsidR="00BC677D" w:rsidRPr="0080598B" w:rsidRDefault="00BC677D" w:rsidP="00BC677D">
                  <w:pPr>
                    <w:numPr>
                      <w:ilvl w:val="0"/>
                      <w:numId w:val="19"/>
                    </w:numPr>
                    <w:shd w:val="clear" w:color="auto" w:fill="FFFFFF"/>
                    <w:spacing w:after="90"/>
                    <w:textAlignment w:val="baseline"/>
                    <w:rPr>
                      <w:rFonts w:ascii="Arial" w:hAnsi="Arial" w:cs="Arial"/>
                      <w:color w:val="141414"/>
                      <w:sz w:val="20"/>
                      <w:szCs w:val="20"/>
                    </w:rPr>
                  </w:pPr>
                  <w:r w:rsidRPr="0080598B">
                    <w:rPr>
                      <w:rFonts w:ascii="Arial" w:hAnsi="Arial" w:cs="Arial"/>
                      <w:color w:val="141414"/>
                      <w:sz w:val="20"/>
                      <w:szCs w:val="20"/>
                    </w:rPr>
                    <w:t>Angulo ajustable entre 0° y 20°.</w:t>
                  </w:r>
                </w:p>
                <w:p w:rsidR="00BC677D" w:rsidRPr="0080598B" w:rsidRDefault="00BC677D" w:rsidP="00BC677D">
                  <w:pPr>
                    <w:numPr>
                      <w:ilvl w:val="0"/>
                      <w:numId w:val="19"/>
                    </w:numPr>
                    <w:shd w:val="clear" w:color="auto" w:fill="FFFFFF"/>
                    <w:spacing w:after="90"/>
                    <w:textAlignment w:val="baseline"/>
                    <w:rPr>
                      <w:rFonts w:ascii="Arial" w:hAnsi="Arial" w:cs="Arial"/>
                      <w:color w:val="141414"/>
                      <w:sz w:val="20"/>
                      <w:szCs w:val="20"/>
                    </w:rPr>
                  </w:pPr>
                  <w:r w:rsidRPr="0080598B">
                    <w:rPr>
                      <w:rFonts w:ascii="Arial" w:hAnsi="Arial" w:cs="Arial"/>
                      <w:color w:val="141414"/>
                      <w:sz w:val="20"/>
                      <w:szCs w:val="20"/>
                    </w:rPr>
                    <w:t>Fabricado en plástico de alto impacto.</w:t>
                  </w:r>
                </w:p>
                <w:p w:rsidR="00BC677D" w:rsidRPr="0080598B" w:rsidRDefault="00BC677D" w:rsidP="00BC677D">
                  <w:pPr>
                    <w:numPr>
                      <w:ilvl w:val="0"/>
                      <w:numId w:val="19"/>
                    </w:numPr>
                    <w:shd w:val="clear" w:color="auto" w:fill="FFFFFF"/>
                    <w:spacing w:after="90"/>
                    <w:textAlignment w:val="baseline"/>
                    <w:rPr>
                      <w:rFonts w:ascii="Arial" w:hAnsi="Arial" w:cs="Arial"/>
                      <w:color w:val="141414"/>
                      <w:sz w:val="20"/>
                      <w:szCs w:val="20"/>
                    </w:rPr>
                  </w:pPr>
                  <w:r w:rsidRPr="0080598B">
                    <w:rPr>
                      <w:rFonts w:ascii="Arial" w:hAnsi="Arial" w:cs="Arial"/>
                      <w:color w:val="141414"/>
                      <w:sz w:val="20"/>
                      <w:szCs w:val="20"/>
                    </w:rPr>
                    <w:t>Base con topes antideslizantes.</w:t>
                  </w:r>
                </w:p>
                <w:p w:rsidR="00BC677D" w:rsidRPr="0080598B" w:rsidRDefault="00BC677D" w:rsidP="00BC677D">
                  <w:pPr>
                    <w:numPr>
                      <w:ilvl w:val="0"/>
                      <w:numId w:val="19"/>
                    </w:numPr>
                    <w:shd w:val="clear" w:color="auto" w:fill="FFFFFF"/>
                    <w:spacing w:after="90"/>
                    <w:textAlignment w:val="baseline"/>
                    <w:rPr>
                      <w:rFonts w:ascii="Arial" w:hAnsi="Arial" w:cs="Arial"/>
                      <w:color w:val="141414"/>
                      <w:sz w:val="20"/>
                      <w:szCs w:val="20"/>
                    </w:rPr>
                  </w:pPr>
                  <w:r w:rsidRPr="0080598B">
                    <w:rPr>
                      <w:rFonts w:ascii="Arial" w:hAnsi="Arial" w:cs="Arial"/>
                      <w:color w:val="141414"/>
                      <w:sz w:val="20"/>
                      <w:szCs w:val="20"/>
                    </w:rPr>
                    <w:t>Superficie con huellas en caucho antideslizante.</w:t>
                  </w:r>
                </w:p>
                <w:p w:rsidR="00BC677D" w:rsidRPr="0080598B" w:rsidRDefault="00BC677D" w:rsidP="00BC677D">
                  <w:pPr>
                    <w:numPr>
                      <w:ilvl w:val="0"/>
                      <w:numId w:val="19"/>
                    </w:numPr>
                    <w:shd w:val="clear" w:color="auto" w:fill="FFFFFF"/>
                    <w:spacing w:after="90"/>
                    <w:textAlignment w:val="baseline"/>
                    <w:rPr>
                      <w:rFonts w:ascii="Arial" w:hAnsi="Arial" w:cs="Arial"/>
                      <w:color w:val="141414"/>
                      <w:sz w:val="20"/>
                      <w:szCs w:val="20"/>
                    </w:rPr>
                  </w:pPr>
                  <w:r w:rsidRPr="0080598B">
                    <w:rPr>
                      <w:rFonts w:ascii="Arial" w:hAnsi="Arial" w:cs="Arial"/>
                      <w:color w:val="141414"/>
                      <w:sz w:val="20"/>
                      <w:szCs w:val="20"/>
                    </w:rPr>
                    <w:t>Color: negro.</w:t>
                  </w:r>
                </w:p>
                <w:p w:rsidR="00AF6944" w:rsidRPr="0080598B" w:rsidRDefault="00BC677D" w:rsidP="00BC677D">
                  <w:pPr>
                    <w:numPr>
                      <w:ilvl w:val="0"/>
                      <w:numId w:val="19"/>
                    </w:numPr>
                    <w:shd w:val="clear" w:color="auto" w:fill="FFFFFF"/>
                    <w:spacing w:after="90"/>
                    <w:textAlignment w:val="baseline"/>
                    <w:rPr>
                      <w:rFonts w:ascii="Arial" w:hAnsi="Arial" w:cs="Arial"/>
                      <w:color w:val="000000"/>
                      <w:sz w:val="20"/>
                      <w:szCs w:val="20"/>
                    </w:rPr>
                  </w:pPr>
                  <w:r w:rsidRPr="0080598B">
                    <w:rPr>
                      <w:rFonts w:ascii="Arial" w:hAnsi="Arial" w:cs="Arial"/>
                      <w:color w:val="141414"/>
                      <w:sz w:val="20"/>
                      <w:szCs w:val="20"/>
                    </w:rPr>
                    <w:t>Garantía de 12 meses por defecto de fábrica.</w:t>
                  </w:r>
                </w:p>
              </w:tc>
            </w:tr>
            <w:tr w:rsidR="00AF6944" w:rsidRPr="0080598B" w:rsidTr="00BC677D">
              <w:trPr>
                <w:trHeight w:val="214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F6944" w:rsidRPr="0080598B" w:rsidRDefault="00AF6944" w:rsidP="00BC677D">
                  <w:pPr>
                    <w:rPr>
                      <w:rFonts w:ascii="Arial" w:hAnsi="Arial" w:cs="Arial"/>
                      <w:color w:val="000000"/>
                      <w:sz w:val="20"/>
                      <w:szCs w:val="20"/>
                    </w:rPr>
                  </w:pPr>
                  <w:r w:rsidRPr="0080598B">
                    <w:rPr>
                      <w:rFonts w:ascii="Arial" w:hAnsi="Arial" w:cs="Arial"/>
                      <w:color w:val="000000"/>
                      <w:sz w:val="20"/>
                      <w:szCs w:val="20"/>
                    </w:rPr>
                    <w:lastRenderedPageBreak/>
                    <w:t>3</w:t>
                  </w:r>
                </w:p>
              </w:tc>
              <w:tc>
                <w:tcPr>
                  <w:tcW w:w="2120" w:type="dxa"/>
                  <w:tcBorders>
                    <w:top w:val="nil"/>
                    <w:left w:val="nil"/>
                    <w:bottom w:val="single" w:sz="4" w:space="0" w:color="auto"/>
                    <w:right w:val="single" w:sz="4" w:space="0" w:color="auto"/>
                  </w:tcBorders>
                  <w:shd w:val="clear" w:color="auto" w:fill="auto"/>
                  <w:noWrap/>
                  <w:vAlign w:val="center"/>
                  <w:hideMark/>
                </w:tcPr>
                <w:p w:rsidR="00AF6944" w:rsidRPr="0080598B" w:rsidRDefault="00AF6944" w:rsidP="00BC677D">
                  <w:pPr>
                    <w:rPr>
                      <w:rFonts w:ascii="Arial" w:hAnsi="Arial" w:cs="Arial"/>
                      <w:color w:val="000000"/>
                      <w:sz w:val="20"/>
                      <w:szCs w:val="20"/>
                    </w:rPr>
                  </w:pPr>
                  <w:r w:rsidRPr="0080598B">
                    <w:rPr>
                      <w:rFonts w:ascii="Arial" w:hAnsi="Arial" w:cs="Arial"/>
                      <w:color w:val="000000"/>
                      <w:sz w:val="20"/>
                      <w:szCs w:val="20"/>
                    </w:rPr>
                    <w:t>silla ergonómica</w:t>
                  </w:r>
                </w:p>
              </w:tc>
              <w:tc>
                <w:tcPr>
                  <w:tcW w:w="1200" w:type="dxa"/>
                  <w:tcBorders>
                    <w:top w:val="nil"/>
                    <w:left w:val="nil"/>
                    <w:bottom w:val="single" w:sz="4" w:space="0" w:color="auto"/>
                    <w:right w:val="single" w:sz="4" w:space="0" w:color="auto"/>
                  </w:tcBorders>
                  <w:shd w:val="clear" w:color="auto" w:fill="auto"/>
                  <w:noWrap/>
                  <w:vAlign w:val="center"/>
                  <w:hideMark/>
                </w:tcPr>
                <w:p w:rsidR="00AF6944" w:rsidRPr="0080598B" w:rsidRDefault="00AF6944" w:rsidP="004E5FE0">
                  <w:pPr>
                    <w:jc w:val="center"/>
                    <w:rPr>
                      <w:rFonts w:ascii="Arial" w:hAnsi="Arial" w:cs="Arial"/>
                      <w:color w:val="000000"/>
                      <w:sz w:val="20"/>
                      <w:szCs w:val="20"/>
                    </w:rPr>
                  </w:pPr>
                  <w:r w:rsidRPr="0080598B">
                    <w:rPr>
                      <w:rFonts w:ascii="Arial" w:hAnsi="Arial" w:cs="Arial"/>
                      <w:color w:val="000000"/>
                      <w:sz w:val="20"/>
                      <w:szCs w:val="20"/>
                    </w:rPr>
                    <w:t>8</w:t>
                  </w:r>
                </w:p>
              </w:tc>
              <w:tc>
                <w:tcPr>
                  <w:tcW w:w="5283" w:type="dxa"/>
                  <w:tcBorders>
                    <w:top w:val="nil"/>
                    <w:left w:val="nil"/>
                    <w:bottom w:val="single" w:sz="4" w:space="0" w:color="auto"/>
                    <w:right w:val="single" w:sz="4" w:space="0" w:color="auto"/>
                  </w:tcBorders>
                  <w:shd w:val="clear" w:color="auto" w:fill="auto"/>
                  <w:noWrap/>
                  <w:vAlign w:val="center"/>
                  <w:hideMark/>
                </w:tcPr>
                <w:p w:rsidR="00BC677D" w:rsidRPr="0080598B" w:rsidRDefault="00BC677D" w:rsidP="00BC677D">
                  <w:pPr>
                    <w:pStyle w:val="Prrafodelista"/>
                    <w:numPr>
                      <w:ilvl w:val="0"/>
                      <w:numId w:val="21"/>
                    </w:numPr>
                    <w:rPr>
                      <w:rFonts w:ascii="Arial" w:hAnsi="Arial" w:cs="Arial"/>
                      <w:sz w:val="20"/>
                      <w:szCs w:val="20"/>
                      <w:shd w:val="clear" w:color="auto" w:fill="FFFFFF"/>
                    </w:rPr>
                  </w:pPr>
                  <w:r w:rsidRPr="0080598B">
                    <w:rPr>
                      <w:rFonts w:ascii="Arial" w:hAnsi="Arial" w:cs="Arial"/>
                      <w:sz w:val="20"/>
                      <w:szCs w:val="20"/>
                      <w:shd w:val="clear" w:color="auto" w:fill="FFFFFF"/>
                    </w:rPr>
                    <w:t>Silla Ejecutiva.</w:t>
                  </w:r>
                </w:p>
                <w:p w:rsidR="00BC677D" w:rsidRPr="0080598B" w:rsidRDefault="00BC677D" w:rsidP="00BC677D">
                  <w:pPr>
                    <w:pStyle w:val="Prrafodelista"/>
                    <w:numPr>
                      <w:ilvl w:val="0"/>
                      <w:numId w:val="21"/>
                    </w:numPr>
                    <w:rPr>
                      <w:rFonts w:ascii="Arial" w:hAnsi="Arial" w:cs="Arial"/>
                      <w:sz w:val="20"/>
                      <w:szCs w:val="20"/>
                      <w:shd w:val="clear" w:color="auto" w:fill="FFFFFF"/>
                    </w:rPr>
                  </w:pPr>
                  <w:r w:rsidRPr="0080598B">
                    <w:rPr>
                      <w:rFonts w:ascii="Arial" w:hAnsi="Arial" w:cs="Arial"/>
                      <w:sz w:val="20"/>
                      <w:szCs w:val="20"/>
                      <w:shd w:val="clear" w:color="auto" w:fill="FFFFFF"/>
                    </w:rPr>
                    <w:t>Elevación a Gas.</w:t>
                  </w:r>
                </w:p>
                <w:p w:rsidR="00BC677D" w:rsidRPr="0080598B" w:rsidRDefault="00BC677D" w:rsidP="00BC677D">
                  <w:pPr>
                    <w:pStyle w:val="Prrafodelista"/>
                    <w:numPr>
                      <w:ilvl w:val="0"/>
                      <w:numId w:val="21"/>
                    </w:numPr>
                    <w:rPr>
                      <w:rFonts w:ascii="Arial" w:hAnsi="Arial" w:cs="Arial"/>
                      <w:sz w:val="20"/>
                      <w:szCs w:val="20"/>
                      <w:shd w:val="clear" w:color="auto" w:fill="FFFFFF"/>
                    </w:rPr>
                  </w:pPr>
                  <w:r w:rsidRPr="0080598B">
                    <w:rPr>
                      <w:rFonts w:ascii="Arial" w:hAnsi="Arial" w:cs="Arial"/>
                      <w:sz w:val="20"/>
                      <w:szCs w:val="20"/>
                      <w:shd w:val="clear" w:color="auto" w:fill="FFFFFF"/>
                    </w:rPr>
                    <w:t>Mecanismo Contacto Permanente</w:t>
                  </w:r>
                </w:p>
                <w:p w:rsidR="00BC677D" w:rsidRPr="0080598B" w:rsidRDefault="00BC677D" w:rsidP="00BC677D">
                  <w:pPr>
                    <w:pStyle w:val="Prrafodelista"/>
                    <w:numPr>
                      <w:ilvl w:val="0"/>
                      <w:numId w:val="21"/>
                    </w:numPr>
                    <w:rPr>
                      <w:rFonts w:ascii="Arial" w:hAnsi="Arial" w:cs="Arial"/>
                      <w:sz w:val="20"/>
                      <w:szCs w:val="20"/>
                      <w:shd w:val="clear" w:color="auto" w:fill="FFFFFF"/>
                    </w:rPr>
                  </w:pPr>
                  <w:r w:rsidRPr="0080598B">
                    <w:rPr>
                      <w:rFonts w:ascii="Arial" w:hAnsi="Arial" w:cs="Arial"/>
                      <w:sz w:val="20"/>
                      <w:szCs w:val="20"/>
                      <w:shd w:val="clear" w:color="auto" w:fill="FFFFFF"/>
                    </w:rPr>
                    <w:t>Ajuste de Altura en Espaldar.</w:t>
                  </w:r>
                </w:p>
                <w:p w:rsidR="00BC677D" w:rsidRPr="0080598B" w:rsidRDefault="00BC677D" w:rsidP="00BC677D">
                  <w:pPr>
                    <w:pStyle w:val="Prrafodelista"/>
                    <w:numPr>
                      <w:ilvl w:val="0"/>
                      <w:numId w:val="21"/>
                    </w:numPr>
                    <w:rPr>
                      <w:rFonts w:ascii="Arial" w:hAnsi="Arial" w:cs="Arial"/>
                      <w:sz w:val="20"/>
                      <w:szCs w:val="20"/>
                      <w:shd w:val="clear" w:color="auto" w:fill="FFFFFF"/>
                    </w:rPr>
                  </w:pPr>
                  <w:r w:rsidRPr="0080598B">
                    <w:rPr>
                      <w:rFonts w:ascii="Arial" w:hAnsi="Arial" w:cs="Arial"/>
                      <w:sz w:val="20"/>
                      <w:szCs w:val="20"/>
                      <w:shd w:val="clear" w:color="auto" w:fill="FFFFFF"/>
                    </w:rPr>
                    <w:t>Ajuste de Profundidad en el Asiento.</w:t>
                  </w:r>
                </w:p>
                <w:p w:rsidR="00BC677D" w:rsidRPr="0080598B" w:rsidRDefault="00BC677D" w:rsidP="00BC677D">
                  <w:pPr>
                    <w:pStyle w:val="Prrafodelista"/>
                    <w:numPr>
                      <w:ilvl w:val="0"/>
                      <w:numId w:val="21"/>
                    </w:numPr>
                    <w:rPr>
                      <w:rFonts w:ascii="Arial" w:hAnsi="Arial" w:cs="Arial"/>
                      <w:sz w:val="20"/>
                      <w:szCs w:val="20"/>
                      <w:shd w:val="clear" w:color="auto" w:fill="FFFFFF"/>
                    </w:rPr>
                  </w:pPr>
                  <w:r w:rsidRPr="0080598B">
                    <w:rPr>
                      <w:rFonts w:ascii="Arial" w:hAnsi="Arial" w:cs="Arial"/>
                      <w:sz w:val="20"/>
                      <w:szCs w:val="20"/>
                      <w:shd w:val="clear" w:color="auto" w:fill="FFFFFF"/>
                    </w:rPr>
                    <w:t xml:space="preserve">Base de 5 Aspas 600mm en Nylon Reforzado </w:t>
                  </w:r>
                </w:p>
                <w:p w:rsidR="00BC677D" w:rsidRPr="0080598B" w:rsidRDefault="00BC677D" w:rsidP="00BC677D">
                  <w:pPr>
                    <w:pStyle w:val="Prrafodelista"/>
                    <w:numPr>
                      <w:ilvl w:val="0"/>
                      <w:numId w:val="21"/>
                    </w:numPr>
                    <w:rPr>
                      <w:rFonts w:ascii="Arial" w:hAnsi="Arial" w:cs="Arial"/>
                      <w:sz w:val="20"/>
                      <w:szCs w:val="20"/>
                      <w:shd w:val="clear" w:color="auto" w:fill="FFFFFF"/>
                    </w:rPr>
                  </w:pPr>
                  <w:r w:rsidRPr="0080598B">
                    <w:rPr>
                      <w:rFonts w:ascii="Arial" w:hAnsi="Arial" w:cs="Arial"/>
                      <w:sz w:val="20"/>
                      <w:szCs w:val="20"/>
                      <w:shd w:val="clear" w:color="auto" w:fill="FFFFFF"/>
                    </w:rPr>
                    <w:t>Sin Brazos.</w:t>
                  </w:r>
                </w:p>
                <w:p w:rsidR="00BC677D" w:rsidRPr="0080598B" w:rsidRDefault="00BC677D" w:rsidP="00BC677D">
                  <w:pPr>
                    <w:pStyle w:val="Prrafodelista"/>
                    <w:numPr>
                      <w:ilvl w:val="0"/>
                      <w:numId w:val="21"/>
                    </w:numPr>
                    <w:rPr>
                      <w:rFonts w:ascii="Arial" w:hAnsi="Arial" w:cs="Arial"/>
                      <w:sz w:val="20"/>
                      <w:szCs w:val="20"/>
                      <w:shd w:val="clear" w:color="auto" w:fill="FFFFFF"/>
                    </w:rPr>
                  </w:pPr>
                  <w:r w:rsidRPr="0080598B">
                    <w:rPr>
                      <w:rFonts w:ascii="Arial" w:hAnsi="Arial" w:cs="Arial"/>
                      <w:sz w:val="20"/>
                      <w:szCs w:val="20"/>
                      <w:shd w:val="clear" w:color="auto" w:fill="FFFFFF"/>
                    </w:rPr>
                    <w:t xml:space="preserve">Ruedas en Nylon 50mm </w:t>
                  </w:r>
                </w:p>
                <w:p w:rsidR="00BC677D" w:rsidRPr="0080598B" w:rsidRDefault="00BC677D" w:rsidP="00BC677D">
                  <w:pPr>
                    <w:pStyle w:val="Prrafodelista"/>
                    <w:numPr>
                      <w:ilvl w:val="0"/>
                      <w:numId w:val="21"/>
                    </w:numPr>
                    <w:rPr>
                      <w:rFonts w:ascii="Arial" w:hAnsi="Arial" w:cs="Arial"/>
                      <w:sz w:val="20"/>
                      <w:szCs w:val="20"/>
                      <w:shd w:val="clear" w:color="auto" w:fill="FFFFFF"/>
                    </w:rPr>
                  </w:pPr>
                  <w:r w:rsidRPr="0080598B">
                    <w:rPr>
                      <w:rFonts w:ascii="Arial" w:hAnsi="Arial" w:cs="Arial"/>
                      <w:sz w:val="20"/>
                      <w:szCs w:val="20"/>
                      <w:shd w:val="clear" w:color="auto" w:fill="FFFFFF"/>
                    </w:rPr>
                    <w:t>Goma Espuma Espaldar Laminada Densidad 18.</w:t>
                  </w:r>
                </w:p>
                <w:p w:rsidR="00BC677D" w:rsidRPr="0080598B" w:rsidRDefault="00BC677D" w:rsidP="00BC677D">
                  <w:pPr>
                    <w:pStyle w:val="Prrafodelista"/>
                    <w:numPr>
                      <w:ilvl w:val="0"/>
                      <w:numId w:val="21"/>
                    </w:numPr>
                    <w:rPr>
                      <w:rFonts w:ascii="Arial" w:hAnsi="Arial" w:cs="Arial"/>
                      <w:sz w:val="20"/>
                      <w:szCs w:val="20"/>
                      <w:shd w:val="clear" w:color="auto" w:fill="FFFFFF"/>
                    </w:rPr>
                  </w:pPr>
                  <w:r w:rsidRPr="0080598B">
                    <w:rPr>
                      <w:rFonts w:ascii="Arial" w:hAnsi="Arial" w:cs="Arial"/>
                      <w:sz w:val="20"/>
                      <w:szCs w:val="20"/>
                      <w:shd w:val="clear" w:color="auto" w:fill="FFFFFF"/>
                    </w:rPr>
                    <w:t>Goma Espuma Asiento Laminada Densidad 26.</w:t>
                  </w:r>
                </w:p>
                <w:p w:rsidR="00BC677D" w:rsidRPr="0080598B" w:rsidRDefault="00BC677D" w:rsidP="00BC677D">
                  <w:pPr>
                    <w:pStyle w:val="Prrafodelista"/>
                    <w:numPr>
                      <w:ilvl w:val="0"/>
                      <w:numId w:val="21"/>
                    </w:numPr>
                    <w:rPr>
                      <w:rFonts w:ascii="Arial" w:hAnsi="Arial" w:cs="Arial"/>
                      <w:sz w:val="20"/>
                      <w:szCs w:val="20"/>
                      <w:shd w:val="clear" w:color="auto" w:fill="FFFFFF"/>
                    </w:rPr>
                  </w:pPr>
                  <w:r w:rsidRPr="0080598B">
                    <w:rPr>
                      <w:rFonts w:ascii="Arial" w:hAnsi="Arial" w:cs="Arial"/>
                      <w:sz w:val="20"/>
                      <w:szCs w:val="20"/>
                      <w:shd w:val="clear" w:color="auto" w:fill="FFFFFF"/>
                    </w:rPr>
                    <w:t>• Asiento en Madera Calibre 1.5 MM.</w:t>
                  </w:r>
                </w:p>
                <w:p w:rsidR="00BC677D" w:rsidRPr="0080598B" w:rsidRDefault="00BC677D" w:rsidP="00BC677D">
                  <w:pPr>
                    <w:pStyle w:val="Prrafodelista"/>
                    <w:numPr>
                      <w:ilvl w:val="0"/>
                      <w:numId w:val="21"/>
                    </w:numPr>
                    <w:rPr>
                      <w:rFonts w:ascii="Arial" w:hAnsi="Arial" w:cs="Arial"/>
                      <w:sz w:val="20"/>
                      <w:szCs w:val="20"/>
                      <w:shd w:val="clear" w:color="auto" w:fill="FFFFFF"/>
                    </w:rPr>
                  </w:pPr>
                  <w:r w:rsidRPr="0080598B">
                    <w:rPr>
                      <w:rFonts w:ascii="Arial" w:hAnsi="Arial" w:cs="Arial"/>
                      <w:sz w:val="20"/>
                      <w:szCs w:val="20"/>
                      <w:shd w:val="clear" w:color="auto" w:fill="FFFFFF"/>
                    </w:rPr>
                    <w:t xml:space="preserve">Tela 100% Polipropileno, </w:t>
                  </w:r>
                  <w:proofErr w:type="spellStart"/>
                  <w:r w:rsidRPr="0080598B">
                    <w:rPr>
                      <w:rFonts w:ascii="Arial" w:hAnsi="Arial" w:cs="Arial"/>
                      <w:sz w:val="20"/>
                      <w:szCs w:val="20"/>
                      <w:shd w:val="clear" w:color="auto" w:fill="FFFFFF"/>
                    </w:rPr>
                    <w:t>Retardante</w:t>
                  </w:r>
                  <w:proofErr w:type="spellEnd"/>
                  <w:r w:rsidRPr="0080598B">
                    <w:rPr>
                      <w:rFonts w:ascii="Arial" w:hAnsi="Arial" w:cs="Arial"/>
                      <w:sz w:val="20"/>
                      <w:szCs w:val="20"/>
                      <w:shd w:val="clear" w:color="auto" w:fill="FFFFFF"/>
                    </w:rPr>
                    <w:t xml:space="preserve"> al Fuego, Antiestática, Antialérgica, </w:t>
                  </w:r>
                  <w:proofErr w:type="spellStart"/>
                  <w:r w:rsidRPr="0080598B">
                    <w:rPr>
                      <w:rFonts w:ascii="Arial" w:hAnsi="Arial" w:cs="Arial"/>
                      <w:sz w:val="20"/>
                      <w:szCs w:val="20"/>
                      <w:shd w:val="clear" w:color="auto" w:fill="FFFFFF"/>
                    </w:rPr>
                    <w:t>Antibacterial</w:t>
                  </w:r>
                  <w:proofErr w:type="spellEnd"/>
                  <w:r w:rsidRPr="0080598B">
                    <w:rPr>
                      <w:rFonts w:ascii="Arial" w:hAnsi="Arial" w:cs="Arial"/>
                      <w:sz w:val="20"/>
                      <w:szCs w:val="20"/>
                      <w:shd w:val="clear" w:color="auto" w:fill="FFFFFF"/>
                    </w:rPr>
                    <w:t>.</w:t>
                  </w:r>
                </w:p>
                <w:p w:rsidR="00AF6944" w:rsidRPr="0080598B" w:rsidRDefault="00BC677D" w:rsidP="0080598B">
                  <w:pPr>
                    <w:pStyle w:val="Prrafodelista"/>
                    <w:numPr>
                      <w:ilvl w:val="0"/>
                      <w:numId w:val="21"/>
                    </w:numPr>
                    <w:rPr>
                      <w:rFonts w:ascii="Arial" w:hAnsi="Arial" w:cs="Arial"/>
                      <w:color w:val="000000"/>
                      <w:sz w:val="20"/>
                      <w:szCs w:val="20"/>
                    </w:rPr>
                  </w:pPr>
                  <w:r w:rsidRPr="0080598B">
                    <w:rPr>
                      <w:rFonts w:ascii="Arial" w:hAnsi="Arial" w:cs="Arial"/>
                      <w:sz w:val="20"/>
                      <w:szCs w:val="20"/>
                      <w:shd w:val="clear" w:color="auto" w:fill="FFFFFF"/>
                    </w:rPr>
                    <w:t>Tapizada en Tela azul</w:t>
                  </w:r>
                </w:p>
              </w:tc>
            </w:tr>
          </w:tbl>
          <w:p w:rsidR="002623DF" w:rsidRPr="0080598B" w:rsidRDefault="002623DF" w:rsidP="00D015EE">
            <w:pPr>
              <w:jc w:val="both"/>
              <w:rPr>
                <w:rFonts w:ascii="Arial" w:hAnsi="Arial" w:cs="Arial"/>
                <w:sz w:val="20"/>
                <w:szCs w:val="20"/>
              </w:rPr>
            </w:pPr>
          </w:p>
        </w:tc>
      </w:tr>
      <w:tr w:rsidR="002623DF" w:rsidRPr="0080598B" w:rsidTr="00D015EE">
        <w:tc>
          <w:tcPr>
            <w:tcW w:w="9657" w:type="dxa"/>
            <w:gridSpan w:val="6"/>
          </w:tcPr>
          <w:p w:rsidR="002623DF" w:rsidRPr="0080598B" w:rsidRDefault="002623DF" w:rsidP="00D015EE">
            <w:pPr>
              <w:jc w:val="both"/>
              <w:rPr>
                <w:rFonts w:ascii="Arial" w:eastAsiaTheme="minorHAnsi" w:hAnsi="Arial" w:cs="Arial"/>
                <w:bCs/>
                <w:sz w:val="20"/>
                <w:szCs w:val="20"/>
                <w:lang w:eastAsia="en-US"/>
              </w:rPr>
            </w:pPr>
            <w:r w:rsidRPr="0080598B">
              <w:rPr>
                <w:rFonts w:ascii="Arial" w:hAnsi="Arial" w:cs="Arial"/>
                <w:bCs/>
                <w:sz w:val="20"/>
                <w:szCs w:val="20"/>
              </w:rPr>
              <w:lastRenderedPageBreak/>
              <w:t>3.</w:t>
            </w:r>
            <w:r w:rsidRPr="0080598B">
              <w:rPr>
                <w:rFonts w:ascii="Arial" w:hAnsi="Arial" w:cs="Arial"/>
                <w:bCs/>
                <w:sz w:val="20"/>
                <w:szCs w:val="20"/>
              </w:rPr>
              <w:tab/>
              <w:t xml:space="preserve">CÓDIGO </w:t>
            </w:r>
            <w:r w:rsidRPr="0080598B">
              <w:rPr>
                <w:rFonts w:ascii="Arial" w:eastAsiaTheme="minorHAnsi" w:hAnsi="Arial" w:cs="Arial"/>
                <w:bCs/>
                <w:sz w:val="20"/>
                <w:szCs w:val="20"/>
                <w:lang w:eastAsia="en-US"/>
              </w:rPr>
              <w:t>UNSPSC:</w:t>
            </w:r>
          </w:p>
          <w:p w:rsidR="004E5FE0" w:rsidRPr="0080598B" w:rsidRDefault="004E5FE0" w:rsidP="00D015EE">
            <w:pPr>
              <w:jc w:val="both"/>
              <w:rPr>
                <w:rFonts w:ascii="Arial" w:eastAsiaTheme="minorHAnsi" w:hAnsi="Arial" w:cs="Arial"/>
                <w:bCs/>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2410"/>
              <w:gridCol w:w="4252"/>
            </w:tblGrid>
            <w:tr w:rsidR="009E5567" w:rsidRPr="0080598B" w:rsidTr="009E5567">
              <w:tc>
                <w:tcPr>
                  <w:tcW w:w="1951" w:type="dxa"/>
                </w:tcPr>
                <w:p w:rsidR="009E5567" w:rsidRPr="0080598B" w:rsidRDefault="009E5567" w:rsidP="009E5567">
                  <w:pPr>
                    <w:autoSpaceDE w:val="0"/>
                    <w:autoSpaceDN w:val="0"/>
                    <w:adjustRightInd w:val="0"/>
                    <w:jc w:val="both"/>
                    <w:rPr>
                      <w:rFonts w:ascii="Arial" w:hAnsi="Arial" w:cs="Arial"/>
                      <w:b/>
                      <w:bCs/>
                      <w:sz w:val="20"/>
                      <w:szCs w:val="20"/>
                    </w:rPr>
                  </w:pPr>
                  <w:r w:rsidRPr="0080598B">
                    <w:rPr>
                      <w:rFonts w:ascii="Arial" w:hAnsi="Arial" w:cs="Arial"/>
                      <w:b/>
                      <w:bCs/>
                      <w:sz w:val="20"/>
                      <w:szCs w:val="20"/>
                    </w:rPr>
                    <w:t>SEGMENTO</w:t>
                  </w:r>
                </w:p>
              </w:tc>
              <w:tc>
                <w:tcPr>
                  <w:tcW w:w="2410" w:type="dxa"/>
                </w:tcPr>
                <w:p w:rsidR="001316B1" w:rsidRPr="0080598B" w:rsidRDefault="001316B1" w:rsidP="009E5567">
                  <w:pPr>
                    <w:rPr>
                      <w:rFonts w:ascii="Arial" w:eastAsiaTheme="minorHAnsi" w:hAnsi="Arial" w:cs="Arial"/>
                      <w:color w:val="404040"/>
                      <w:sz w:val="20"/>
                      <w:szCs w:val="20"/>
                      <w:lang w:val="es-ES" w:eastAsia="en-US"/>
                    </w:rPr>
                  </w:pPr>
                  <w:r w:rsidRPr="0080598B">
                    <w:rPr>
                      <w:rFonts w:ascii="Arial" w:eastAsiaTheme="minorHAnsi" w:hAnsi="Arial" w:cs="Arial"/>
                      <w:color w:val="404040"/>
                      <w:sz w:val="20"/>
                      <w:szCs w:val="20"/>
                      <w:lang w:val="es-ES" w:eastAsia="en-US"/>
                    </w:rPr>
                    <w:t>40000000</w:t>
                  </w:r>
                </w:p>
                <w:p w:rsidR="009B6010" w:rsidRPr="0080598B" w:rsidRDefault="009B6010" w:rsidP="009E5567">
                  <w:pPr>
                    <w:rPr>
                      <w:rFonts w:ascii="Arial" w:eastAsiaTheme="minorHAnsi" w:hAnsi="Arial" w:cs="Arial"/>
                      <w:color w:val="404040"/>
                      <w:sz w:val="20"/>
                      <w:szCs w:val="20"/>
                      <w:lang w:val="es-ES" w:eastAsia="en-US"/>
                    </w:rPr>
                  </w:pPr>
                </w:p>
                <w:p w:rsidR="009B6010" w:rsidRPr="0080598B" w:rsidRDefault="009B6010" w:rsidP="009E5567">
                  <w:pPr>
                    <w:rPr>
                      <w:rFonts w:ascii="Arial" w:eastAsiaTheme="minorHAnsi" w:hAnsi="Arial" w:cs="Arial"/>
                      <w:color w:val="404040"/>
                      <w:sz w:val="20"/>
                      <w:szCs w:val="20"/>
                      <w:lang w:val="es-ES" w:eastAsia="en-US"/>
                    </w:rPr>
                  </w:pPr>
                </w:p>
                <w:p w:rsidR="009B6010" w:rsidRPr="0080598B" w:rsidRDefault="009B6010" w:rsidP="009E5567">
                  <w:pPr>
                    <w:rPr>
                      <w:rFonts w:ascii="Arial" w:hAnsi="Arial" w:cs="Arial"/>
                      <w:sz w:val="20"/>
                      <w:szCs w:val="20"/>
                    </w:rPr>
                  </w:pPr>
                  <w:r w:rsidRPr="0080598B">
                    <w:rPr>
                      <w:rFonts w:ascii="Arial" w:eastAsiaTheme="minorHAnsi" w:hAnsi="Arial" w:cs="Arial"/>
                      <w:color w:val="404040"/>
                      <w:sz w:val="20"/>
                      <w:szCs w:val="20"/>
                      <w:lang w:val="es-ES" w:eastAsia="en-US"/>
                    </w:rPr>
                    <w:t>50000000</w:t>
                  </w:r>
                </w:p>
              </w:tc>
              <w:tc>
                <w:tcPr>
                  <w:tcW w:w="4252" w:type="dxa"/>
                </w:tcPr>
                <w:p w:rsidR="001316B1" w:rsidRPr="0080598B" w:rsidRDefault="001316B1" w:rsidP="001316B1">
                  <w:pPr>
                    <w:autoSpaceDE w:val="0"/>
                    <w:autoSpaceDN w:val="0"/>
                    <w:adjustRightInd w:val="0"/>
                    <w:rPr>
                      <w:rFonts w:ascii="Arial" w:eastAsiaTheme="minorHAnsi" w:hAnsi="Arial" w:cs="Arial"/>
                      <w:color w:val="404040"/>
                      <w:sz w:val="20"/>
                      <w:szCs w:val="20"/>
                      <w:lang w:val="es-ES" w:eastAsia="en-US"/>
                    </w:rPr>
                  </w:pPr>
                  <w:r w:rsidRPr="0080598B">
                    <w:rPr>
                      <w:rFonts w:ascii="Arial" w:eastAsiaTheme="minorHAnsi" w:hAnsi="Arial" w:cs="Arial"/>
                      <w:color w:val="404040"/>
                      <w:sz w:val="20"/>
                      <w:szCs w:val="20"/>
                      <w:lang w:val="es-ES" w:eastAsia="en-US"/>
                    </w:rPr>
                    <w:t>Componentes y Equipos para Distribución y Sistemas de Acondicionamiento</w:t>
                  </w:r>
                </w:p>
                <w:p w:rsidR="001316B1" w:rsidRPr="0080598B" w:rsidRDefault="001316B1" w:rsidP="001316B1">
                  <w:pPr>
                    <w:autoSpaceDE w:val="0"/>
                    <w:autoSpaceDN w:val="0"/>
                    <w:adjustRightInd w:val="0"/>
                    <w:rPr>
                      <w:rFonts w:ascii="Arial" w:eastAsiaTheme="minorHAnsi" w:hAnsi="Arial" w:cs="Arial"/>
                      <w:color w:val="404040"/>
                      <w:sz w:val="20"/>
                      <w:szCs w:val="20"/>
                      <w:lang w:val="es-ES" w:eastAsia="en-US"/>
                    </w:rPr>
                  </w:pPr>
                </w:p>
                <w:p w:rsidR="001316B1" w:rsidRPr="0080598B" w:rsidRDefault="009B6010" w:rsidP="001316B1">
                  <w:pPr>
                    <w:autoSpaceDE w:val="0"/>
                    <w:autoSpaceDN w:val="0"/>
                    <w:adjustRightInd w:val="0"/>
                    <w:rPr>
                      <w:rFonts w:ascii="Arial" w:hAnsi="Arial" w:cs="Arial"/>
                      <w:sz w:val="20"/>
                      <w:szCs w:val="20"/>
                    </w:rPr>
                  </w:pPr>
                  <w:r w:rsidRPr="0080598B">
                    <w:rPr>
                      <w:rFonts w:ascii="Arial" w:eastAsiaTheme="minorHAnsi" w:hAnsi="Arial" w:cs="Arial"/>
                      <w:color w:val="404040"/>
                      <w:sz w:val="20"/>
                      <w:szCs w:val="20"/>
                      <w:lang w:val="es-ES" w:eastAsia="en-US"/>
                    </w:rPr>
                    <w:t>Alimentos, Bebidas y Tabaco</w:t>
                  </w:r>
                </w:p>
              </w:tc>
            </w:tr>
            <w:tr w:rsidR="009E5567" w:rsidRPr="0080598B" w:rsidTr="009E5567">
              <w:tc>
                <w:tcPr>
                  <w:tcW w:w="1951" w:type="dxa"/>
                </w:tcPr>
                <w:p w:rsidR="009E5567" w:rsidRPr="0080598B" w:rsidRDefault="009E5567" w:rsidP="009E5567">
                  <w:pPr>
                    <w:autoSpaceDE w:val="0"/>
                    <w:autoSpaceDN w:val="0"/>
                    <w:adjustRightInd w:val="0"/>
                    <w:jc w:val="both"/>
                    <w:rPr>
                      <w:rFonts w:ascii="Arial" w:hAnsi="Arial" w:cs="Arial"/>
                      <w:b/>
                      <w:bCs/>
                      <w:sz w:val="20"/>
                      <w:szCs w:val="20"/>
                    </w:rPr>
                  </w:pPr>
                  <w:r w:rsidRPr="0080598B">
                    <w:rPr>
                      <w:rFonts w:ascii="Arial" w:hAnsi="Arial" w:cs="Arial"/>
                      <w:b/>
                      <w:bCs/>
                      <w:sz w:val="20"/>
                      <w:szCs w:val="20"/>
                    </w:rPr>
                    <w:t>FAMILIA</w:t>
                  </w:r>
                </w:p>
              </w:tc>
              <w:tc>
                <w:tcPr>
                  <w:tcW w:w="2410" w:type="dxa"/>
                </w:tcPr>
                <w:p w:rsidR="009B6010" w:rsidRPr="0080598B" w:rsidRDefault="002F0338" w:rsidP="009E5567">
                  <w:pPr>
                    <w:rPr>
                      <w:rFonts w:ascii="Arial" w:eastAsiaTheme="minorHAnsi" w:hAnsi="Arial" w:cs="Arial"/>
                      <w:color w:val="404040"/>
                      <w:sz w:val="20"/>
                      <w:szCs w:val="20"/>
                      <w:lang w:val="es-ES" w:eastAsia="en-US"/>
                    </w:rPr>
                  </w:pPr>
                  <w:r w:rsidRPr="0080598B">
                    <w:rPr>
                      <w:rFonts w:ascii="Arial" w:eastAsiaTheme="minorHAnsi" w:hAnsi="Arial" w:cs="Arial"/>
                      <w:color w:val="404040"/>
                      <w:sz w:val="20"/>
                      <w:szCs w:val="20"/>
                      <w:lang w:val="es-ES" w:eastAsia="en-US"/>
                    </w:rPr>
                    <w:t>46000000</w:t>
                  </w:r>
                </w:p>
                <w:p w:rsidR="002F0338" w:rsidRPr="0080598B" w:rsidRDefault="002F0338" w:rsidP="009E5567">
                  <w:pPr>
                    <w:rPr>
                      <w:rFonts w:ascii="Arial" w:eastAsiaTheme="minorHAnsi" w:hAnsi="Arial" w:cs="Arial"/>
                      <w:color w:val="404040"/>
                      <w:sz w:val="20"/>
                      <w:szCs w:val="20"/>
                      <w:lang w:val="es-ES" w:eastAsia="en-US"/>
                    </w:rPr>
                  </w:pPr>
                </w:p>
                <w:p w:rsidR="002F0338" w:rsidRPr="0080598B" w:rsidRDefault="002F0338" w:rsidP="009E5567">
                  <w:pPr>
                    <w:rPr>
                      <w:rFonts w:ascii="Arial" w:eastAsiaTheme="minorHAnsi" w:hAnsi="Arial" w:cs="Arial"/>
                      <w:color w:val="404040"/>
                      <w:sz w:val="20"/>
                      <w:szCs w:val="20"/>
                      <w:lang w:val="es-ES" w:eastAsia="en-US"/>
                    </w:rPr>
                  </w:pPr>
                </w:p>
                <w:p w:rsidR="009B6010" w:rsidRPr="0080598B" w:rsidRDefault="009B6010" w:rsidP="009E5567">
                  <w:pPr>
                    <w:rPr>
                      <w:rFonts w:ascii="Arial" w:hAnsi="Arial" w:cs="Arial"/>
                      <w:sz w:val="20"/>
                      <w:szCs w:val="20"/>
                    </w:rPr>
                  </w:pPr>
                  <w:r w:rsidRPr="0080598B">
                    <w:rPr>
                      <w:rFonts w:ascii="Arial" w:eastAsiaTheme="minorHAnsi" w:hAnsi="Arial" w:cs="Arial"/>
                      <w:color w:val="404040"/>
                      <w:sz w:val="20"/>
                      <w:szCs w:val="20"/>
                      <w:lang w:val="es-ES" w:eastAsia="en-US"/>
                    </w:rPr>
                    <w:t>56000000</w:t>
                  </w:r>
                </w:p>
              </w:tc>
              <w:tc>
                <w:tcPr>
                  <w:tcW w:w="4252" w:type="dxa"/>
                </w:tcPr>
                <w:p w:rsidR="002F0338" w:rsidRPr="0080598B" w:rsidRDefault="002F0338" w:rsidP="001316B1">
                  <w:pPr>
                    <w:autoSpaceDE w:val="0"/>
                    <w:autoSpaceDN w:val="0"/>
                    <w:adjustRightInd w:val="0"/>
                    <w:rPr>
                      <w:rFonts w:ascii="Arial" w:eastAsiaTheme="minorHAnsi" w:hAnsi="Arial" w:cs="Arial"/>
                      <w:color w:val="404040"/>
                      <w:sz w:val="20"/>
                      <w:szCs w:val="20"/>
                      <w:lang w:val="es-ES" w:eastAsia="en-US"/>
                    </w:rPr>
                  </w:pPr>
                  <w:r w:rsidRPr="0080598B">
                    <w:rPr>
                      <w:rFonts w:ascii="Arial" w:eastAsiaTheme="minorHAnsi" w:hAnsi="Arial" w:cs="Arial"/>
                      <w:color w:val="404040"/>
                      <w:sz w:val="20"/>
                      <w:szCs w:val="20"/>
                      <w:lang w:val="es-ES" w:eastAsia="en-US"/>
                    </w:rPr>
                    <w:t>Equipos y suministros de defensa, orden público, protección, vigilancia y seguridad</w:t>
                  </w:r>
                </w:p>
                <w:p w:rsidR="0080598B" w:rsidRPr="0080598B" w:rsidRDefault="0080598B" w:rsidP="001316B1">
                  <w:pPr>
                    <w:autoSpaceDE w:val="0"/>
                    <w:autoSpaceDN w:val="0"/>
                    <w:adjustRightInd w:val="0"/>
                    <w:rPr>
                      <w:rFonts w:ascii="Arial" w:eastAsiaTheme="minorHAnsi" w:hAnsi="Arial" w:cs="Arial"/>
                      <w:color w:val="404040"/>
                      <w:sz w:val="20"/>
                      <w:szCs w:val="20"/>
                      <w:lang w:val="es-ES" w:eastAsia="en-US"/>
                    </w:rPr>
                  </w:pPr>
                </w:p>
                <w:p w:rsidR="009B6010" w:rsidRPr="0080598B" w:rsidRDefault="0080598B" w:rsidP="001316B1">
                  <w:pPr>
                    <w:autoSpaceDE w:val="0"/>
                    <w:autoSpaceDN w:val="0"/>
                    <w:adjustRightInd w:val="0"/>
                    <w:rPr>
                      <w:rFonts w:ascii="Arial" w:hAnsi="Arial" w:cs="Arial"/>
                      <w:sz w:val="20"/>
                      <w:szCs w:val="20"/>
                    </w:rPr>
                  </w:pPr>
                  <w:r w:rsidRPr="0080598B">
                    <w:rPr>
                      <w:rFonts w:ascii="Arial" w:eastAsiaTheme="minorHAnsi" w:hAnsi="Arial" w:cs="Arial"/>
                      <w:color w:val="404040"/>
                      <w:sz w:val="20"/>
                      <w:szCs w:val="20"/>
                      <w:lang w:val="es-ES" w:eastAsia="en-US"/>
                    </w:rPr>
                    <w:t>M</w:t>
                  </w:r>
                  <w:r w:rsidR="009B6010" w:rsidRPr="0080598B">
                    <w:rPr>
                      <w:rFonts w:ascii="Arial" w:eastAsiaTheme="minorHAnsi" w:hAnsi="Arial" w:cs="Arial"/>
                      <w:color w:val="404040"/>
                      <w:sz w:val="20"/>
                      <w:szCs w:val="20"/>
                      <w:lang w:val="es-ES" w:eastAsia="en-US"/>
                    </w:rPr>
                    <w:t>uebles, Mobiliario y Decoración</w:t>
                  </w:r>
                </w:p>
              </w:tc>
            </w:tr>
            <w:tr w:rsidR="009E5567" w:rsidRPr="0080598B" w:rsidTr="009E5567">
              <w:tc>
                <w:tcPr>
                  <w:tcW w:w="1951" w:type="dxa"/>
                </w:tcPr>
                <w:p w:rsidR="009E5567" w:rsidRPr="0080598B" w:rsidRDefault="00EF726E" w:rsidP="009E5567">
                  <w:pPr>
                    <w:autoSpaceDE w:val="0"/>
                    <w:autoSpaceDN w:val="0"/>
                    <w:adjustRightInd w:val="0"/>
                    <w:jc w:val="both"/>
                    <w:rPr>
                      <w:rFonts w:ascii="Arial" w:hAnsi="Arial" w:cs="Arial"/>
                      <w:b/>
                      <w:bCs/>
                      <w:sz w:val="20"/>
                      <w:szCs w:val="20"/>
                    </w:rPr>
                  </w:pPr>
                  <w:r w:rsidRPr="0080598B">
                    <w:rPr>
                      <w:rFonts w:ascii="Arial" w:hAnsi="Arial" w:cs="Arial"/>
                      <w:b/>
                      <w:bCs/>
                      <w:sz w:val="20"/>
                      <w:szCs w:val="20"/>
                    </w:rPr>
                    <w:t>CLASE</w:t>
                  </w:r>
                </w:p>
              </w:tc>
              <w:tc>
                <w:tcPr>
                  <w:tcW w:w="2410" w:type="dxa"/>
                </w:tcPr>
                <w:p w:rsidR="00F84C20" w:rsidRPr="0080598B" w:rsidRDefault="00F84C20" w:rsidP="001316B1">
                  <w:pPr>
                    <w:autoSpaceDE w:val="0"/>
                    <w:autoSpaceDN w:val="0"/>
                    <w:adjustRightInd w:val="0"/>
                    <w:jc w:val="both"/>
                    <w:rPr>
                      <w:rFonts w:ascii="Arial" w:eastAsiaTheme="minorHAnsi" w:hAnsi="Arial" w:cs="Arial"/>
                      <w:color w:val="404040"/>
                      <w:sz w:val="20"/>
                      <w:szCs w:val="20"/>
                      <w:lang w:val="es-ES" w:eastAsia="en-US"/>
                    </w:rPr>
                  </w:pPr>
                  <w:r w:rsidRPr="0080598B">
                    <w:rPr>
                      <w:rFonts w:ascii="Arial" w:eastAsiaTheme="minorHAnsi" w:hAnsi="Arial" w:cs="Arial"/>
                      <w:color w:val="404040"/>
                      <w:sz w:val="20"/>
                      <w:szCs w:val="20"/>
                      <w:lang w:val="es-ES" w:eastAsia="en-US"/>
                    </w:rPr>
                    <w:t>46180000</w:t>
                  </w:r>
                </w:p>
                <w:p w:rsidR="00F84C20" w:rsidRPr="0080598B" w:rsidRDefault="00F84C20" w:rsidP="001316B1">
                  <w:pPr>
                    <w:autoSpaceDE w:val="0"/>
                    <w:autoSpaceDN w:val="0"/>
                    <w:adjustRightInd w:val="0"/>
                    <w:jc w:val="both"/>
                    <w:rPr>
                      <w:rFonts w:ascii="Arial" w:eastAsiaTheme="minorHAnsi" w:hAnsi="Arial" w:cs="Arial"/>
                      <w:color w:val="404040"/>
                      <w:sz w:val="20"/>
                      <w:szCs w:val="20"/>
                      <w:lang w:val="es-ES" w:eastAsia="en-US"/>
                    </w:rPr>
                  </w:pPr>
                </w:p>
                <w:p w:rsidR="00033B60" w:rsidRPr="0080598B" w:rsidRDefault="00033B60" w:rsidP="009B6010">
                  <w:pPr>
                    <w:autoSpaceDE w:val="0"/>
                    <w:autoSpaceDN w:val="0"/>
                    <w:adjustRightInd w:val="0"/>
                    <w:jc w:val="both"/>
                    <w:rPr>
                      <w:rFonts w:ascii="Arial" w:hAnsi="Arial" w:cs="Arial"/>
                      <w:sz w:val="20"/>
                      <w:szCs w:val="20"/>
                    </w:rPr>
                  </w:pPr>
                  <w:r w:rsidRPr="0080598B">
                    <w:rPr>
                      <w:rFonts w:ascii="Arial" w:hAnsi="Arial" w:cs="Arial"/>
                      <w:sz w:val="20"/>
                      <w:szCs w:val="20"/>
                    </w:rPr>
                    <w:t>56110000</w:t>
                  </w:r>
                </w:p>
              </w:tc>
              <w:tc>
                <w:tcPr>
                  <w:tcW w:w="4252" w:type="dxa"/>
                </w:tcPr>
                <w:p w:rsidR="00F84C20" w:rsidRPr="0080598B" w:rsidRDefault="00F84C20" w:rsidP="001316B1">
                  <w:pPr>
                    <w:autoSpaceDE w:val="0"/>
                    <w:autoSpaceDN w:val="0"/>
                    <w:adjustRightInd w:val="0"/>
                    <w:rPr>
                      <w:rFonts w:ascii="Arial" w:eastAsiaTheme="minorHAnsi" w:hAnsi="Arial" w:cs="Arial"/>
                      <w:color w:val="404040"/>
                      <w:sz w:val="20"/>
                      <w:szCs w:val="20"/>
                      <w:lang w:val="es-ES" w:eastAsia="en-US"/>
                    </w:rPr>
                  </w:pPr>
                  <w:r w:rsidRPr="0080598B">
                    <w:rPr>
                      <w:rFonts w:ascii="Arial" w:eastAsiaTheme="minorHAnsi" w:hAnsi="Arial" w:cs="Arial"/>
                      <w:color w:val="404040"/>
                      <w:sz w:val="20"/>
                      <w:szCs w:val="20"/>
                      <w:lang w:val="es-ES" w:eastAsia="en-US"/>
                    </w:rPr>
                    <w:t>Seguridad y protección personal</w:t>
                  </w:r>
                </w:p>
                <w:p w:rsidR="00F84C20" w:rsidRPr="0080598B" w:rsidRDefault="00F84C20" w:rsidP="001316B1">
                  <w:pPr>
                    <w:autoSpaceDE w:val="0"/>
                    <w:autoSpaceDN w:val="0"/>
                    <w:adjustRightInd w:val="0"/>
                    <w:rPr>
                      <w:rFonts w:ascii="Arial" w:eastAsiaTheme="minorHAnsi" w:hAnsi="Arial" w:cs="Arial"/>
                      <w:color w:val="404040"/>
                      <w:sz w:val="20"/>
                      <w:szCs w:val="20"/>
                      <w:lang w:val="es-ES" w:eastAsia="en-US"/>
                    </w:rPr>
                  </w:pPr>
                </w:p>
                <w:p w:rsidR="00033B60" w:rsidRPr="0080598B" w:rsidRDefault="00033B60" w:rsidP="00033B60">
                  <w:pPr>
                    <w:autoSpaceDE w:val="0"/>
                    <w:autoSpaceDN w:val="0"/>
                    <w:adjustRightInd w:val="0"/>
                    <w:rPr>
                      <w:rFonts w:ascii="Arial" w:hAnsi="Arial" w:cs="Arial"/>
                      <w:sz w:val="20"/>
                      <w:szCs w:val="20"/>
                    </w:rPr>
                  </w:pPr>
                  <w:r w:rsidRPr="0080598B">
                    <w:rPr>
                      <w:rFonts w:ascii="Arial" w:eastAsiaTheme="minorHAnsi" w:hAnsi="Arial" w:cs="Arial"/>
                      <w:color w:val="404040"/>
                      <w:sz w:val="20"/>
                      <w:szCs w:val="20"/>
                      <w:lang w:val="es-ES" w:eastAsia="en-US"/>
                    </w:rPr>
                    <w:t>Muebles comerciales e industriales</w:t>
                  </w:r>
                </w:p>
              </w:tc>
            </w:tr>
            <w:tr w:rsidR="009E5567" w:rsidRPr="0080598B" w:rsidTr="009E5567">
              <w:trPr>
                <w:trHeight w:val="397"/>
              </w:trPr>
              <w:tc>
                <w:tcPr>
                  <w:tcW w:w="1951" w:type="dxa"/>
                </w:tcPr>
                <w:p w:rsidR="009E5567" w:rsidRPr="0080598B" w:rsidRDefault="009E5567" w:rsidP="009E5567">
                  <w:pPr>
                    <w:autoSpaceDE w:val="0"/>
                    <w:autoSpaceDN w:val="0"/>
                    <w:adjustRightInd w:val="0"/>
                    <w:jc w:val="both"/>
                    <w:rPr>
                      <w:rFonts w:ascii="Arial" w:hAnsi="Arial" w:cs="Arial"/>
                      <w:b/>
                      <w:bCs/>
                      <w:sz w:val="20"/>
                      <w:szCs w:val="20"/>
                    </w:rPr>
                  </w:pPr>
                  <w:r w:rsidRPr="0080598B">
                    <w:rPr>
                      <w:rFonts w:ascii="Arial" w:hAnsi="Arial" w:cs="Arial"/>
                      <w:b/>
                      <w:bCs/>
                      <w:sz w:val="20"/>
                      <w:szCs w:val="20"/>
                    </w:rPr>
                    <w:t>PRODUCTO</w:t>
                  </w:r>
                </w:p>
              </w:tc>
              <w:tc>
                <w:tcPr>
                  <w:tcW w:w="2410" w:type="dxa"/>
                </w:tcPr>
                <w:p w:rsidR="00F84C20" w:rsidRPr="0080598B" w:rsidRDefault="00F84C20" w:rsidP="009E5567">
                  <w:pPr>
                    <w:autoSpaceDE w:val="0"/>
                    <w:autoSpaceDN w:val="0"/>
                    <w:adjustRightInd w:val="0"/>
                    <w:jc w:val="both"/>
                    <w:rPr>
                      <w:rFonts w:ascii="Arial" w:eastAsiaTheme="minorHAnsi" w:hAnsi="Arial" w:cs="Arial"/>
                      <w:color w:val="404040"/>
                      <w:sz w:val="20"/>
                      <w:szCs w:val="20"/>
                      <w:lang w:val="es-ES" w:eastAsia="en-US"/>
                    </w:rPr>
                  </w:pPr>
                  <w:r w:rsidRPr="0080598B">
                    <w:rPr>
                      <w:rFonts w:ascii="Arial" w:eastAsiaTheme="minorHAnsi" w:hAnsi="Arial" w:cs="Arial"/>
                      <w:color w:val="404040"/>
                      <w:sz w:val="20"/>
                      <w:szCs w:val="20"/>
                      <w:lang w:val="es-ES" w:eastAsia="en-US"/>
                    </w:rPr>
                    <w:t>46182205</w:t>
                  </w:r>
                </w:p>
                <w:p w:rsidR="009B6010" w:rsidRPr="0080598B" w:rsidRDefault="009B6010" w:rsidP="009B6010">
                  <w:pPr>
                    <w:autoSpaceDE w:val="0"/>
                    <w:autoSpaceDN w:val="0"/>
                    <w:adjustRightInd w:val="0"/>
                    <w:rPr>
                      <w:rFonts w:ascii="Arial" w:eastAsiaTheme="minorHAnsi" w:hAnsi="Arial" w:cs="Arial"/>
                      <w:color w:val="404040"/>
                      <w:sz w:val="20"/>
                      <w:szCs w:val="20"/>
                      <w:lang w:val="es-ES" w:eastAsia="en-US"/>
                    </w:rPr>
                  </w:pPr>
                </w:p>
                <w:p w:rsidR="00033B60" w:rsidRPr="0080598B" w:rsidRDefault="00033B60" w:rsidP="00F9050D">
                  <w:pPr>
                    <w:autoSpaceDE w:val="0"/>
                    <w:autoSpaceDN w:val="0"/>
                    <w:adjustRightInd w:val="0"/>
                    <w:rPr>
                      <w:rFonts w:ascii="Arial" w:hAnsi="Arial" w:cs="Arial"/>
                      <w:sz w:val="20"/>
                      <w:szCs w:val="20"/>
                      <w:lang w:val="es-ES"/>
                    </w:rPr>
                  </w:pPr>
                  <w:r w:rsidRPr="0080598B">
                    <w:rPr>
                      <w:rFonts w:ascii="Arial" w:eastAsiaTheme="minorHAnsi" w:hAnsi="Arial" w:cs="Arial"/>
                      <w:color w:val="404040"/>
                      <w:sz w:val="20"/>
                      <w:szCs w:val="20"/>
                      <w:lang w:val="es-ES" w:eastAsia="en-US"/>
                    </w:rPr>
                    <w:t>56112104</w:t>
                  </w:r>
                </w:p>
              </w:tc>
              <w:tc>
                <w:tcPr>
                  <w:tcW w:w="4252" w:type="dxa"/>
                </w:tcPr>
                <w:p w:rsidR="00F84C20" w:rsidRPr="0080598B" w:rsidRDefault="00F84C20" w:rsidP="009B6010">
                  <w:pPr>
                    <w:jc w:val="both"/>
                    <w:rPr>
                      <w:rFonts w:ascii="Arial" w:eastAsiaTheme="minorHAnsi" w:hAnsi="Arial" w:cs="Arial"/>
                      <w:color w:val="404040"/>
                      <w:sz w:val="20"/>
                      <w:szCs w:val="20"/>
                      <w:lang w:val="es-ES" w:eastAsia="en-US"/>
                    </w:rPr>
                  </w:pPr>
                  <w:r w:rsidRPr="0080598B">
                    <w:rPr>
                      <w:rFonts w:ascii="Arial" w:eastAsiaTheme="minorHAnsi" w:hAnsi="Arial" w:cs="Arial"/>
                      <w:color w:val="404040"/>
                      <w:sz w:val="20"/>
                      <w:szCs w:val="20"/>
                      <w:lang w:val="es-ES" w:eastAsia="en-US"/>
                    </w:rPr>
                    <w:t>Descansos para los pies</w:t>
                  </w:r>
                </w:p>
                <w:p w:rsidR="00F84C20" w:rsidRPr="0080598B" w:rsidRDefault="00F84C20" w:rsidP="009B6010">
                  <w:pPr>
                    <w:jc w:val="both"/>
                    <w:rPr>
                      <w:rFonts w:ascii="Arial" w:eastAsiaTheme="minorHAnsi" w:hAnsi="Arial" w:cs="Arial"/>
                      <w:color w:val="404040"/>
                      <w:sz w:val="20"/>
                      <w:szCs w:val="20"/>
                      <w:lang w:val="es-ES" w:eastAsia="en-US"/>
                    </w:rPr>
                  </w:pPr>
                </w:p>
                <w:p w:rsidR="00033B60" w:rsidRPr="0080598B" w:rsidRDefault="00033B60" w:rsidP="00033B60">
                  <w:pPr>
                    <w:autoSpaceDE w:val="0"/>
                    <w:autoSpaceDN w:val="0"/>
                    <w:adjustRightInd w:val="0"/>
                    <w:rPr>
                      <w:rFonts w:ascii="Arial" w:hAnsi="Arial" w:cs="Arial"/>
                      <w:sz w:val="20"/>
                      <w:szCs w:val="20"/>
                      <w:lang w:val="es-ES"/>
                    </w:rPr>
                  </w:pPr>
                  <w:r w:rsidRPr="0080598B">
                    <w:rPr>
                      <w:rFonts w:ascii="Arial" w:eastAsiaTheme="minorHAnsi" w:hAnsi="Arial" w:cs="Arial"/>
                      <w:color w:val="404040"/>
                      <w:sz w:val="20"/>
                      <w:szCs w:val="20"/>
                      <w:lang w:val="es-ES" w:eastAsia="en-US"/>
                    </w:rPr>
                    <w:t>Sillas para ejecutivos</w:t>
                  </w:r>
                </w:p>
              </w:tc>
            </w:tr>
          </w:tbl>
          <w:p w:rsidR="002623DF" w:rsidRPr="0080598B" w:rsidRDefault="002623DF" w:rsidP="00D015EE">
            <w:pPr>
              <w:jc w:val="both"/>
              <w:rPr>
                <w:rFonts w:ascii="Arial" w:hAnsi="Arial" w:cs="Arial"/>
                <w:sz w:val="20"/>
                <w:szCs w:val="20"/>
              </w:rPr>
            </w:pPr>
          </w:p>
        </w:tc>
      </w:tr>
      <w:tr w:rsidR="002623DF" w:rsidRPr="0080598B" w:rsidTr="00D015EE">
        <w:tc>
          <w:tcPr>
            <w:tcW w:w="9657" w:type="dxa"/>
            <w:gridSpan w:val="6"/>
          </w:tcPr>
          <w:p w:rsidR="002623DF" w:rsidRPr="0080598B" w:rsidRDefault="002623DF" w:rsidP="00D015EE">
            <w:pPr>
              <w:autoSpaceDE w:val="0"/>
              <w:autoSpaceDN w:val="0"/>
              <w:adjustRightInd w:val="0"/>
              <w:jc w:val="both"/>
              <w:rPr>
                <w:rFonts w:ascii="Arial" w:hAnsi="Arial" w:cs="Arial"/>
                <w:sz w:val="20"/>
                <w:szCs w:val="20"/>
              </w:rPr>
            </w:pPr>
            <w:r w:rsidRPr="0080598B">
              <w:rPr>
                <w:rFonts w:ascii="Arial" w:hAnsi="Arial" w:cs="Arial"/>
                <w:bCs/>
                <w:sz w:val="20"/>
                <w:szCs w:val="20"/>
              </w:rPr>
              <w:t>4.</w:t>
            </w:r>
            <w:r w:rsidRPr="0080598B">
              <w:rPr>
                <w:rFonts w:ascii="Arial" w:hAnsi="Arial" w:cs="Arial"/>
                <w:bCs/>
                <w:sz w:val="20"/>
                <w:szCs w:val="20"/>
              </w:rPr>
              <w:tab/>
            </w:r>
            <w:r w:rsidRPr="0080598B">
              <w:rPr>
                <w:rFonts w:ascii="Arial" w:hAnsi="Arial" w:cs="Arial"/>
                <w:sz w:val="20"/>
                <w:szCs w:val="20"/>
              </w:rPr>
              <w:t>ACTIVIDADES Y/O OBLIGACIONES:</w:t>
            </w:r>
          </w:p>
          <w:p w:rsidR="002623DF" w:rsidRPr="0080598B" w:rsidRDefault="002623DF" w:rsidP="00D015EE">
            <w:pPr>
              <w:autoSpaceDE w:val="0"/>
              <w:autoSpaceDN w:val="0"/>
              <w:adjustRightInd w:val="0"/>
              <w:jc w:val="both"/>
              <w:rPr>
                <w:rFonts w:ascii="Arial" w:hAnsi="Arial" w:cs="Arial"/>
                <w:sz w:val="20"/>
                <w:szCs w:val="20"/>
              </w:rPr>
            </w:pPr>
          </w:p>
          <w:p w:rsidR="009E5567" w:rsidRPr="0080598B" w:rsidRDefault="009E5567" w:rsidP="009E5567">
            <w:pPr>
              <w:jc w:val="both"/>
              <w:rPr>
                <w:rFonts w:ascii="Arial" w:hAnsi="Arial" w:cs="Arial"/>
                <w:sz w:val="20"/>
                <w:szCs w:val="20"/>
              </w:rPr>
            </w:pPr>
            <w:r w:rsidRPr="0080598B">
              <w:rPr>
                <w:rFonts w:ascii="Arial" w:hAnsi="Arial" w:cs="Arial"/>
                <w:sz w:val="20"/>
                <w:szCs w:val="20"/>
              </w:rPr>
              <w:t xml:space="preserve">En desarrollo del objeto contractual, el contratista se obliga a: </w:t>
            </w:r>
          </w:p>
          <w:p w:rsidR="009E5567" w:rsidRPr="0080598B" w:rsidRDefault="009E5567" w:rsidP="009E5567">
            <w:pPr>
              <w:jc w:val="both"/>
              <w:rPr>
                <w:rFonts w:ascii="Arial" w:hAnsi="Arial" w:cs="Arial"/>
                <w:sz w:val="20"/>
                <w:szCs w:val="20"/>
              </w:rPr>
            </w:pPr>
          </w:p>
          <w:p w:rsidR="0080598B" w:rsidRPr="0080598B" w:rsidRDefault="0080598B" w:rsidP="009E5567">
            <w:pPr>
              <w:jc w:val="both"/>
              <w:rPr>
                <w:rFonts w:ascii="Arial" w:hAnsi="Arial" w:cs="Arial"/>
                <w:sz w:val="20"/>
                <w:szCs w:val="20"/>
              </w:rPr>
            </w:pPr>
          </w:p>
          <w:p w:rsidR="0080598B" w:rsidRPr="0080598B" w:rsidRDefault="0080598B" w:rsidP="009E5567">
            <w:pPr>
              <w:jc w:val="both"/>
              <w:rPr>
                <w:rFonts w:ascii="Arial" w:hAnsi="Arial" w:cs="Arial"/>
                <w:sz w:val="20"/>
                <w:szCs w:val="20"/>
              </w:rPr>
            </w:pPr>
          </w:p>
          <w:p w:rsidR="009E5567" w:rsidRPr="0080598B" w:rsidRDefault="009E5567" w:rsidP="009E5567">
            <w:pPr>
              <w:jc w:val="both"/>
              <w:rPr>
                <w:rFonts w:ascii="Arial" w:hAnsi="Arial" w:cs="Arial"/>
                <w:sz w:val="20"/>
                <w:szCs w:val="20"/>
              </w:rPr>
            </w:pPr>
            <w:r w:rsidRPr="0080598B">
              <w:rPr>
                <w:rFonts w:ascii="Arial" w:hAnsi="Arial" w:cs="Arial"/>
                <w:sz w:val="20"/>
                <w:szCs w:val="20"/>
              </w:rPr>
              <w:t>ACTIVIDADES:</w:t>
            </w:r>
          </w:p>
          <w:p w:rsidR="009E5567" w:rsidRPr="0080598B" w:rsidRDefault="009E5567" w:rsidP="009E5567">
            <w:pPr>
              <w:jc w:val="both"/>
              <w:rPr>
                <w:rFonts w:ascii="Arial" w:hAnsi="Arial" w:cs="Arial"/>
                <w:sz w:val="20"/>
                <w:szCs w:val="20"/>
              </w:rPr>
            </w:pPr>
          </w:p>
          <w:p w:rsidR="009E5567" w:rsidRPr="0080598B" w:rsidRDefault="00F535AC" w:rsidP="009E5567">
            <w:pPr>
              <w:pStyle w:val="Prrafodelista"/>
              <w:numPr>
                <w:ilvl w:val="0"/>
                <w:numId w:val="15"/>
              </w:numPr>
              <w:spacing w:after="200"/>
              <w:contextualSpacing/>
              <w:jc w:val="both"/>
              <w:rPr>
                <w:rFonts w:ascii="Arial" w:hAnsi="Arial" w:cs="Arial"/>
                <w:sz w:val="20"/>
                <w:szCs w:val="20"/>
              </w:rPr>
            </w:pPr>
            <w:r w:rsidRPr="0080598B">
              <w:rPr>
                <w:rFonts w:ascii="Arial" w:hAnsi="Arial" w:cs="Arial"/>
                <w:sz w:val="20"/>
                <w:szCs w:val="20"/>
              </w:rPr>
              <w:t xml:space="preserve">Entregar los insumos solicitados con las especificaciones requeridas </w:t>
            </w:r>
          </w:p>
          <w:p w:rsidR="009E5567" w:rsidRPr="0080598B" w:rsidRDefault="009E5567" w:rsidP="009E5567">
            <w:pPr>
              <w:spacing w:after="200"/>
              <w:contextualSpacing/>
              <w:jc w:val="both"/>
              <w:rPr>
                <w:rFonts w:ascii="Arial" w:hAnsi="Arial" w:cs="Arial"/>
                <w:sz w:val="20"/>
                <w:szCs w:val="20"/>
              </w:rPr>
            </w:pPr>
            <w:r w:rsidRPr="0080598B">
              <w:rPr>
                <w:rFonts w:ascii="Arial" w:hAnsi="Arial" w:cs="Arial"/>
                <w:sz w:val="20"/>
                <w:szCs w:val="20"/>
              </w:rPr>
              <w:t>OBLIGACIONES:</w:t>
            </w:r>
          </w:p>
          <w:p w:rsidR="00F535AC" w:rsidRPr="0080598B" w:rsidRDefault="00F535AC" w:rsidP="009E5567">
            <w:pPr>
              <w:spacing w:after="200"/>
              <w:contextualSpacing/>
              <w:jc w:val="both"/>
              <w:rPr>
                <w:rFonts w:ascii="Arial" w:hAnsi="Arial" w:cs="Arial"/>
                <w:sz w:val="20"/>
                <w:szCs w:val="20"/>
              </w:rPr>
            </w:pPr>
          </w:p>
          <w:p w:rsidR="00F535AC" w:rsidRPr="0080598B" w:rsidRDefault="00F535AC" w:rsidP="00F535AC">
            <w:pPr>
              <w:numPr>
                <w:ilvl w:val="0"/>
                <w:numId w:val="7"/>
              </w:numPr>
              <w:autoSpaceDE w:val="0"/>
              <w:autoSpaceDN w:val="0"/>
              <w:adjustRightInd w:val="0"/>
              <w:jc w:val="both"/>
              <w:rPr>
                <w:rFonts w:ascii="Arial" w:hAnsi="Arial" w:cs="Arial"/>
                <w:sz w:val="20"/>
                <w:szCs w:val="20"/>
                <w:lang w:val="es-ES"/>
              </w:rPr>
            </w:pPr>
            <w:r w:rsidRPr="0080598B">
              <w:rPr>
                <w:rFonts w:ascii="Arial" w:hAnsi="Arial" w:cs="Arial"/>
                <w:sz w:val="20"/>
                <w:szCs w:val="20"/>
                <w:lang w:val="es-ES"/>
              </w:rPr>
              <w:t>Entregar Garantía mínima por un año.</w:t>
            </w:r>
          </w:p>
          <w:p w:rsidR="00F535AC" w:rsidRPr="0080598B" w:rsidRDefault="00F535AC" w:rsidP="00F535AC">
            <w:pPr>
              <w:widowControl w:val="0"/>
              <w:numPr>
                <w:ilvl w:val="0"/>
                <w:numId w:val="7"/>
              </w:numPr>
              <w:tabs>
                <w:tab w:val="left" w:pos="220"/>
                <w:tab w:val="left" w:pos="720"/>
              </w:tabs>
              <w:autoSpaceDE w:val="0"/>
              <w:autoSpaceDN w:val="0"/>
              <w:adjustRightInd w:val="0"/>
              <w:jc w:val="both"/>
              <w:rPr>
                <w:rFonts w:ascii="Arial" w:eastAsiaTheme="minorHAnsi" w:hAnsi="Arial" w:cs="Arial"/>
                <w:sz w:val="20"/>
                <w:szCs w:val="20"/>
                <w:lang w:val="es-ES" w:eastAsia="en-US"/>
              </w:rPr>
            </w:pPr>
            <w:r w:rsidRPr="0080598B">
              <w:rPr>
                <w:rFonts w:ascii="Arial" w:eastAsiaTheme="minorHAnsi" w:hAnsi="Arial" w:cs="Arial"/>
                <w:sz w:val="20"/>
                <w:szCs w:val="20"/>
                <w:lang w:val="es-ES" w:eastAsia="en-US"/>
              </w:rPr>
              <w:t>Los elementos solicitados deben cumplir con todas las características enunciadas. Tener garantía de fábrica, producto totalmente nuevo.</w:t>
            </w:r>
          </w:p>
          <w:p w:rsidR="00F535AC" w:rsidRPr="0080598B" w:rsidRDefault="00F535AC" w:rsidP="00F535AC">
            <w:pPr>
              <w:widowControl w:val="0"/>
              <w:numPr>
                <w:ilvl w:val="0"/>
                <w:numId w:val="7"/>
              </w:numPr>
              <w:tabs>
                <w:tab w:val="left" w:pos="220"/>
                <w:tab w:val="left" w:pos="720"/>
              </w:tabs>
              <w:autoSpaceDE w:val="0"/>
              <w:autoSpaceDN w:val="0"/>
              <w:adjustRightInd w:val="0"/>
              <w:jc w:val="both"/>
              <w:rPr>
                <w:rFonts w:ascii="Arial" w:eastAsiaTheme="minorHAnsi" w:hAnsi="Arial" w:cs="Arial"/>
                <w:sz w:val="20"/>
                <w:szCs w:val="20"/>
                <w:lang w:val="es-ES" w:eastAsia="en-US"/>
              </w:rPr>
            </w:pPr>
            <w:r w:rsidRPr="0080598B">
              <w:rPr>
                <w:rFonts w:ascii="Arial" w:eastAsiaTheme="minorHAnsi" w:hAnsi="Arial" w:cs="Arial"/>
                <w:sz w:val="20"/>
                <w:szCs w:val="20"/>
                <w:lang w:val="es-ES" w:eastAsia="en-US"/>
              </w:rPr>
              <w:t xml:space="preserve">Mantener la estructura de precios: (Tiempo de vigencia de los precios y sistema de revisión), mediante relación de los productos o elementos, descritos en los ítems, con su respectivo valor unitario. </w:t>
            </w:r>
          </w:p>
          <w:p w:rsidR="00F535AC" w:rsidRPr="0080598B" w:rsidRDefault="00F535AC" w:rsidP="00F535AC">
            <w:pPr>
              <w:widowControl w:val="0"/>
              <w:numPr>
                <w:ilvl w:val="0"/>
                <w:numId w:val="7"/>
              </w:numPr>
              <w:tabs>
                <w:tab w:val="left" w:pos="220"/>
                <w:tab w:val="left" w:pos="720"/>
              </w:tabs>
              <w:autoSpaceDE w:val="0"/>
              <w:autoSpaceDN w:val="0"/>
              <w:adjustRightInd w:val="0"/>
              <w:jc w:val="both"/>
              <w:rPr>
                <w:rFonts w:ascii="Arial" w:eastAsiaTheme="minorHAnsi" w:hAnsi="Arial" w:cs="Arial"/>
                <w:sz w:val="20"/>
                <w:szCs w:val="20"/>
                <w:lang w:val="es-ES" w:eastAsia="en-US"/>
              </w:rPr>
            </w:pPr>
            <w:r w:rsidRPr="0080598B">
              <w:rPr>
                <w:rFonts w:ascii="Arial" w:eastAsiaTheme="minorHAnsi" w:hAnsi="Arial" w:cs="Arial"/>
                <w:sz w:val="20"/>
                <w:szCs w:val="20"/>
                <w:lang w:val="es-ES" w:eastAsia="en-US"/>
              </w:rPr>
              <w:t xml:space="preserve">Mantener las Condiciones generales y particulares para el desarrollo del contrato. </w:t>
            </w:r>
          </w:p>
          <w:p w:rsidR="00F535AC" w:rsidRPr="0080598B" w:rsidRDefault="00F535AC" w:rsidP="00F535AC">
            <w:pPr>
              <w:numPr>
                <w:ilvl w:val="0"/>
                <w:numId w:val="7"/>
              </w:numPr>
              <w:autoSpaceDE w:val="0"/>
              <w:autoSpaceDN w:val="0"/>
              <w:adjustRightInd w:val="0"/>
              <w:jc w:val="both"/>
              <w:rPr>
                <w:rFonts w:ascii="Arial" w:hAnsi="Arial" w:cs="Arial"/>
                <w:sz w:val="20"/>
                <w:szCs w:val="20"/>
                <w:lang w:val="es-ES"/>
              </w:rPr>
            </w:pPr>
            <w:r w:rsidRPr="0080598B">
              <w:rPr>
                <w:rFonts w:ascii="Arial" w:hAnsi="Arial" w:cs="Arial"/>
                <w:sz w:val="20"/>
                <w:szCs w:val="20"/>
                <w:lang w:val="es-ES"/>
              </w:rPr>
              <w:t>El contratista deberá suministrar factura con los requisitos contenidos en el artículo 617 del Estatuto Tributario.</w:t>
            </w:r>
          </w:p>
          <w:p w:rsidR="00F535AC" w:rsidRPr="0080598B" w:rsidRDefault="00F535AC" w:rsidP="00F535AC">
            <w:pPr>
              <w:numPr>
                <w:ilvl w:val="0"/>
                <w:numId w:val="7"/>
              </w:numPr>
              <w:autoSpaceDE w:val="0"/>
              <w:autoSpaceDN w:val="0"/>
              <w:adjustRightInd w:val="0"/>
              <w:jc w:val="both"/>
              <w:rPr>
                <w:rFonts w:ascii="Arial" w:hAnsi="Arial" w:cs="Arial"/>
                <w:sz w:val="20"/>
                <w:szCs w:val="20"/>
                <w:lang w:val="es-ES"/>
              </w:rPr>
            </w:pPr>
            <w:r w:rsidRPr="0080598B">
              <w:rPr>
                <w:rFonts w:ascii="Arial" w:hAnsi="Arial" w:cs="Arial"/>
                <w:sz w:val="20"/>
                <w:szCs w:val="20"/>
                <w:lang w:val="es-ES"/>
              </w:rPr>
              <w:t xml:space="preserve">Encontrarse a paz y salvo al momento de la suscripción del contrato con el pago de los aportes al sistema de seguridad social integral y parafiscales.  </w:t>
            </w:r>
          </w:p>
          <w:p w:rsidR="00F535AC" w:rsidRPr="0080598B" w:rsidRDefault="00F535AC" w:rsidP="00F535AC">
            <w:pPr>
              <w:numPr>
                <w:ilvl w:val="0"/>
                <w:numId w:val="7"/>
              </w:numPr>
              <w:autoSpaceDE w:val="0"/>
              <w:autoSpaceDN w:val="0"/>
              <w:adjustRightInd w:val="0"/>
              <w:jc w:val="both"/>
              <w:rPr>
                <w:rFonts w:ascii="Arial" w:hAnsi="Arial" w:cs="Arial"/>
                <w:sz w:val="20"/>
                <w:szCs w:val="20"/>
                <w:lang w:val="es-ES"/>
              </w:rPr>
            </w:pPr>
            <w:r w:rsidRPr="0080598B">
              <w:rPr>
                <w:rFonts w:ascii="Arial" w:hAnsi="Arial" w:cs="Arial"/>
                <w:sz w:val="20"/>
                <w:szCs w:val="20"/>
                <w:lang w:val="es-ES"/>
              </w:rPr>
              <w:t>Cancelar los gastos de perfeccionamiento, ejecución e impuestos que se generen en razón del contrato.</w:t>
            </w:r>
          </w:p>
          <w:p w:rsidR="00F535AC" w:rsidRPr="0080598B" w:rsidRDefault="00F535AC" w:rsidP="00F535AC">
            <w:pPr>
              <w:numPr>
                <w:ilvl w:val="0"/>
                <w:numId w:val="7"/>
              </w:numPr>
              <w:autoSpaceDE w:val="0"/>
              <w:autoSpaceDN w:val="0"/>
              <w:adjustRightInd w:val="0"/>
              <w:jc w:val="both"/>
              <w:rPr>
                <w:rFonts w:ascii="Arial" w:hAnsi="Arial" w:cs="Arial"/>
                <w:sz w:val="20"/>
                <w:szCs w:val="20"/>
                <w:lang w:val="es-ES"/>
              </w:rPr>
            </w:pPr>
            <w:r w:rsidRPr="0080598B">
              <w:rPr>
                <w:rFonts w:ascii="Arial" w:hAnsi="Arial" w:cs="Arial"/>
                <w:sz w:val="20"/>
                <w:szCs w:val="20"/>
                <w:lang w:val="es-ES"/>
              </w:rPr>
              <w:t xml:space="preserve">Suministrar a la Personería de Itagüí, toda la información que se requiera con el fin de que estos puedan verificar tanto el cumplimiento de los requisitos como de los compromisos contractuales y legales a que haya lugar en razón del contrato. </w:t>
            </w:r>
          </w:p>
          <w:p w:rsidR="00F535AC" w:rsidRPr="0080598B" w:rsidRDefault="00F535AC" w:rsidP="00F535AC">
            <w:pPr>
              <w:numPr>
                <w:ilvl w:val="0"/>
                <w:numId w:val="7"/>
              </w:numPr>
              <w:autoSpaceDE w:val="0"/>
              <w:autoSpaceDN w:val="0"/>
              <w:adjustRightInd w:val="0"/>
              <w:jc w:val="both"/>
              <w:rPr>
                <w:rFonts w:ascii="Arial" w:hAnsi="Arial" w:cs="Arial"/>
                <w:sz w:val="20"/>
                <w:szCs w:val="20"/>
                <w:lang w:val="es-ES"/>
              </w:rPr>
            </w:pPr>
            <w:r w:rsidRPr="0080598B">
              <w:rPr>
                <w:rFonts w:ascii="Arial" w:hAnsi="Arial" w:cs="Arial"/>
                <w:sz w:val="20"/>
                <w:szCs w:val="20"/>
                <w:lang w:val="es-ES"/>
              </w:rPr>
              <w:t xml:space="preserve">Cubrir con todos los gastos, inclusive el transporte, en que incurra con ocasión a la entrega de los bienes. </w:t>
            </w:r>
          </w:p>
          <w:p w:rsidR="00F535AC" w:rsidRPr="0080598B" w:rsidRDefault="00F535AC" w:rsidP="00F535AC">
            <w:pPr>
              <w:autoSpaceDE w:val="0"/>
              <w:autoSpaceDN w:val="0"/>
              <w:adjustRightInd w:val="0"/>
              <w:spacing w:line="276" w:lineRule="auto"/>
              <w:jc w:val="both"/>
              <w:rPr>
                <w:rFonts w:ascii="Arial" w:hAnsi="Arial" w:cs="Arial"/>
                <w:b/>
                <w:sz w:val="20"/>
                <w:szCs w:val="20"/>
                <w:lang w:val="es-ES" w:eastAsia="en-US" w:bidi="en-US"/>
              </w:rPr>
            </w:pPr>
          </w:p>
          <w:p w:rsidR="009E5567" w:rsidRPr="0080598B" w:rsidRDefault="009E5567" w:rsidP="009E5567">
            <w:pPr>
              <w:pStyle w:val="Textoindependiente2"/>
              <w:spacing w:after="0" w:line="240" w:lineRule="auto"/>
              <w:rPr>
                <w:rFonts w:ascii="Arial" w:hAnsi="Arial" w:cs="Arial"/>
                <w:b/>
                <w:sz w:val="20"/>
                <w:szCs w:val="20"/>
              </w:rPr>
            </w:pPr>
            <w:r w:rsidRPr="0080598B">
              <w:rPr>
                <w:rFonts w:ascii="Arial" w:hAnsi="Arial" w:cs="Arial"/>
                <w:b/>
                <w:sz w:val="20"/>
                <w:szCs w:val="20"/>
              </w:rPr>
              <w:t>PRODUCTOS A ENTREGAR POR EL CONTRATISTA</w:t>
            </w:r>
          </w:p>
          <w:p w:rsidR="009E5567" w:rsidRPr="0080598B" w:rsidRDefault="009E5567" w:rsidP="009E5567">
            <w:pPr>
              <w:pStyle w:val="Textoindependiente2"/>
              <w:spacing w:after="0" w:line="240" w:lineRule="auto"/>
              <w:rPr>
                <w:rFonts w:ascii="Arial" w:hAnsi="Arial" w:cs="Arial"/>
                <w:b/>
                <w:sz w:val="20"/>
                <w:szCs w:val="20"/>
              </w:rPr>
            </w:pPr>
          </w:p>
          <w:tbl>
            <w:tblPr>
              <w:tblW w:w="9243" w:type="dxa"/>
              <w:tblCellMar>
                <w:left w:w="70" w:type="dxa"/>
                <w:right w:w="70" w:type="dxa"/>
              </w:tblCellMar>
              <w:tblLook w:val="04A0"/>
            </w:tblPr>
            <w:tblGrid>
              <w:gridCol w:w="1494"/>
              <w:gridCol w:w="4948"/>
              <w:gridCol w:w="2801"/>
            </w:tblGrid>
            <w:tr w:rsidR="00F535AC" w:rsidRPr="0080598B" w:rsidTr="0080598B">
              <w:trPr>
                <w:trHeight w:val="471"/>
              </w:trPr>
              <w:tc>
                <w:tcPr>
                  <w:tcW w:w="14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35AC" w:rsidRPr="0080598B" w:rsidRDefault="00F535AC" w:rsidP="009A2380">
                  <w:pPr>
                    <w:rPr>
                      <w:rFonts w:ascii="Arial" w:hAnsi="Arial" w:cs="Arial"/>
                      <w:color w:val="000000"/>
                      <w:sz w:val="20"/>
                      <w:szCs w:val="20"/>
                    </w:rPr>
                  </w:pPr>
                  <w:r w:rsidRPr="0080598B">
                    <w:rPr>
                      <w:rFonts w:ascii="Arial" w:hAnsi="Arial" w:cs="Arial"/>
                      <w:color w:val="000000"/>
                      <w:sz w:val="20"/>
                      <w:szCs w:val="20"/>
                    </w:rPr>
                    <w:t>ITEM</w:t>
                  </w:r>
                </w:p>
              </w:tc>
              <w:tc>
                <w:tcPr>
                  <w:tcW w:w="4948" w:type="dxa"/>
                  <w:tcBorders>
                    <w:top w:val="single" w:sz="4" w:space="0" w:color="auto"/>
                    <w:left w:val="nil"/>
                    <w:bottom w:val="single" w:sz="4" w:space="0" w:color="auto"/>
                    <w:right w:val="single" w:sz="4" w:space="0" w:color="auto"/>
                  </w:tcBorders>
                  <w:shd w:val="clear" w:color="auto" w:fill="auto"/>
                  <w:noWrap/>
                  <w:vAlign w:val="bottom"/>
                  <w:hideMark/>
                </w:tcPr>
                <w:p w:rsidR="00F535AC" w:rsidRPr="0080598B" w:rsidRDefault="00F535AC" w:rsidP="009A2380">
                  <w:pPr>
                    <w:jc w:val="center"/>
                    <w:rPr>
                      <w:rFonts w:ascii="Arial" w:hAnsi="Arial" w:cs="Arial"/>
                      <w:b/>
                      <w:bCs/>
                      <w:color w:val="000000"/>
                      <w:sz w:val="20"/>
                      <w:szCs w:val="20"/>
                    </w:rPr>
                  </w:pPr>
                  <w:r w:rsidRPr="0080598B">
                    <w:rPr>
                      <w:rFonts w:ascii="Arial" w:hAnsi="Arial" w:cs="Arial"/>
                      <w:b/>
                      <w:bCs/>
                      <w:color w:val="000000"/>
                      <w:sz w:val="20"/>
                      <w:szCs w:val="20"/>
                    </w:rPr>
                    <w:t>ARTÍCULO</w:t>
                  </w:r>
                </w:p>
              </w:tc>
              <w:tc>
                <w:tcPr>
                  <w:tcW w:w="2801" w:type="dxa"/>
                  <w:tcBorders>
                    <w:top w:val="single" w:sz="4" w:space="0" w:color="auto"/>
                    <w:left w:val="nil"/>
                    <w:bottom w:val="single" w:sz="4" w:space="0" w:color="auto"/>
                    <w:right w:val="single" w:sz="4" w:space="0" w:color="auto"/>
                  </w:tcBorders>
                  <w:shd w:val="clear" w:color="auto" w:fill="auto"/>
                  <w:noWrap/>
                  <w:vAlign w:val="bottom"/>
                  <w:hideMark/>
                </w:tcPr>
                <w:p w:rsidR="00F535AC" w:rsidRPr="0080598B" w:rsidRDefault="00F535AC" w:rsidP="009A2380">
                  <w:pPr>
                    <w:jc w:val="center"/>
                    <w:rPr>
                      <w:rFonts w:ascii="Arial" w:hAnsi="Arial" w:cs="Arial"/>
                      <w:b/>
                      <w:bCs/>
                      <w:color w:val="000000"/>
                      <w:sz w:val="20"/>
                      <w:szCs w:val="20"/>
                    </w:rPr>
                  </w:pPr>
                  <w:r w:rsidRPr="0080598B">
                    <w:rPr>
                      <w:rFonts w:ascii="Arial" w:hAnsi="Arial" w:cs="Arial"/>
                      <w:b/>
                      <w:bCs/>
                      <w:color w:val="000000"/>
                      <w:sz w:val="20"/>
                      <w:szCs w:val="20"/>
                    </w:rPr>
                    <w:t>CANTIDAD</w:t>
                  </w:r>
                </w:p>
              </w:tc>
            </w:tr>
            <w:tr w:rsidR="00F535AC" w:rsidRPr="0080598B" w:rsidTr="0080598B">
              <w:trPr>
                <w:trHeight w:val="473"/>
              </w:trPr>
              <w:tc>
                <w:tcPr>
                  <w:tcW w:w="1494" w:type="dxa"/>
                  <w:tcBorders>
                    <w:top w:val="nil"/>
                    <w:left w:val="single" w:sz="4" w:space="0" w:color="auto"/>
                    <w:bottom w:val="single" w:sz="4" w:space="0" w:color="auto"/>
                    <w:right w:val="single" w:sz="4" w:space="0" w:color="auto"/>
                  </w:tcBorders>
                  <w:shd w:val="clear" w:color="auto" w:fill="auto"/>
                  <w:noWrap/>
                  <w:vAlign w:val="center"/>
                  <w:hideMark/>
                </w:tcPr>
                <w:p w:rsidR="00F535AC" w:rsidRPr="0080598B" w:rsidRDefault="00F535AC" w:rsidP="00F535AC">
                  <w:pPr>
                    <w:jc w:val="center"/>
                    <w:rPr>
                      <w:rFonts w:ascii="Arial" w:hAnsi="Arial" w:cs="Arial"/>
                      <w:color w:val="000000"/>
                      <w:sz w:val="20"/>
                      <w:szCs w:val="20"/>
                    </w:rPr>
                  </w:pPr>
                  <w:r w:rsidRPr="0080598B">
                    <w:rPr>
                      <w:rFonts w:ascii="Arial" w:hAnsi="Arial" w:cs="Arial"/>
                      <w:color w:val="000000"/>
                      <w:sz w:val="20"/>
                      <w:szCs w:val="20"/>
                    </w:rPr>
                    <w:t>1</w:t>
                  </w:r>
                </w:p>
              </w:tc>
              <w:tc>
                <w:tcPr>
                  <w:tcW w:w="4948" w:type="dxa"/>
                  <w:tcBorders>
                    <w:top w:val="nil"/>
                    <w:left w:val="nil"/>
                    <w:bottom w:val="single" w:sz="4" w:space="0" w:color="auto"/>
                    <w:right w:val="single" w:sz="4" w:space="0" w:color="auto"/>
                  </w:tcBorders>
                  <w:shd w:val="clear" w:color="auto" w:fill="auto"/>
                  <w:noWrap/>
                  <w:vAlign w:val="center"/>
                  <w:hideMark/>
                </w:tcPr>
                <w:p w:rsidR="00F535AC" w:rsidRPr="0080598B" w:rsidRDefault="00F535AC" w:rsidP="009A2380">
                  <w:pPr>
                    <w:rPr>
                      <w:rFonts w:ascii="Arial" w:hAnsi="Arial" w:cs="Arial"/>
                      <w:color w:val="000000"/>
                      <w:sz w:val="20"/>
                      <w:szCs w:val="20"/>
                    </w:rPr>
                  </w:pPr>
                  <w:r w:rsidRPr="0080598B">
                    <w:rPr>
                      <w:rFonts w:ascii="Arial" w:hAnsi="Arial" w:cs="Arial"/>
                      <w:color w:val="000000"/>
                      <w:sz w:val="20"/>
                      <w:szCs w:val="20"/>
                    </w:rPr>
                    <w:t>Descansa pies</w:t>
                  </w:r>
                </w:p>
              </w:tc>
              <w:tc>
                <w:tcPr>
                  <w:tcW w:w="2801" w:type="dxa"/>
                  <w:tcBorders>
                    <w:top w:val="nil"/>
                    <w:left w:val="nil"/>
                    <w:bottom w:val="single" w:sz="4" w:space="0" w:color="auto"/>
                    <w:right w:val="single" w:sz="4" w:space="0" w:color="auto"/>
                  </w:tcBorders>
                  <w:shd w:val="clear" w:color="auto" w:fill="auto"/>
                  <w:noWrap/>
                  <w:vAlign w:val="center"/>
                  <w:hideMark/>
                </w:tcPr>
                <w:p w:rsidR="00F535AC" w:rsidRPr="0080598B" w:rsidRDefault="00F535AC" w:rsidP="009A2380">
                  <w:pPr>
                    <w:jc w:val="center"/>
                    <w:rPr>
                      <w:rFonts w:ascii="Arial" w:hAnsi="Arial" w:cs="Arial"/>
                      <w:color w:val="000000"/>
                      <w:sz w:val="20"/>
                      <w:szCs w:val="20"/>
                    </w:rPr>
                  </w:pPr>
                  <w:r w:rsidRPr="0080598B">
                    <w:rPr>
                      <w:rFonts w:ascii="Arial" w:hAnsi="Arial" w:cs="Arial"/>
                      <w:color w:val="000000"/>
                      <w:sz w:val="20"/>
                      <w:szCs w:val="20"/>
                    </w:rPr>
                    <w:t>16</w:t>
                  </w:r>
                </w:p>
              </w:tc>
            </w:tr>
            <w:tr w:rsidR="00F535AC" w:rsidRPr="0080598B" w:rsidTr="0080598B">
              <w:trPr>
                <w:trHeight w:val="488"/>
              </w:trPr>
              <w:tc>
                <w:tcPr>
                  <w:tcW w:w="1494" w:type="dxa"/>
                  <w:tcBorders>
                    <w:top w:val="nil"/>
                    <w:left w:val="single" w:sz="4" w:space="0" w:color="auto"/>
                    <w:bottom w:val="single" w:sz="4" w:space="0" w:color="auto"/>
                    <w:right w:val="single" w:sz="4" w:space="0" w:color="auto"/>
                  </w:tcBorders>
                  <w:shd w:val="clear" w:color="auto" w:fill="auto"/>
                  <w:noWrap/>
                  <w:vAlign w:val="center"/>
                  <w:hideMark/>
                </w:tcPr>
                <w:p w:rsidR="00F535AC" w:rsidRPr="0080598B" w:rsidRDefault="0080598B" w:rsidP="00F535AC">
                  <w:pPr>
                    <w:jc w:val="center"/>
                    <w:rPr>
                      <w:rFonts w:ascii="Arial" w:hAnsi="Arial" w:cs="Arial"/>
                      <w:color w:val="000000"/>
                      <w:sz w:val="20"/>
                      <w:szCs w:val="20"/>
                    </w:rPr>
                  </w:pPr>
                  <w:r w:rsidRPr="0080598B">
                    <w:rPr>
                      <w:rFonts w:ascii="Arial" w:hAnsi="Arial" w:cs="Arial"/>
                      <w:color w:val="000000"/>
                      <w:sz w:val="20"/>
                      <w:szCs w:val="20"/>
                    </w:rPr>
                    <w:t>2</w:t>
                  </w:r>
                </w:p>
              </w:tc>
              <w:tc>
                <w:tcPr>
                  <w:tcW w:w="4948" w:type="dxa"/>
                  <w:tcBorders>
                    <w:top w:val="nil"/>
                    <w:left w:val="nil"/>
                    <w:bottom w:val="single" w:sz="4" w:space="0" w:color="auto"/>
                    <w:right w:val="single" w:sz="4" w:space="0" w:color="auto"/>
                  </w:tcBorders>
                  <w:shd w:val="clear" w:color="auto" w:fill="auto"/>
                  <w:noWrap/>
                  <w:vAlign w:val="center"/>
                  <w:hideMark/>
                </w:tcPr>
                <w:p w:rsidR="00F535AC" w:rsidRPr="0080598B" w:rsidRDefault="00F535AC" w:rsidP="009A2380">
                  <w:pPr>
                    <w:rPr>
                      <w:rFonts w:ascii="Arial" w:hAnsi="Arial" w:cs="Arial"/>
                      <w:color w:val="000000"/>
                      <w:sz w:val="20"/>
                      <w:szCs w:val="20"/>
                    </w:rPr>
                  </w:pPr>
                  <w:r w:rsidRPr="0080598B">
                    <w:rPr>
                      <w:rFonts w:ascii="Arial" w:hAnsi="Arial" w:cs="Arial"/>
                      <w:color w:val="000000"/>
                      <w:sz w:val="20"/>
                      <w:szCs w:val="20"/>
                    </w:rPr>
                    <w:t>silla ergonómica</w:t>
                  </w:r>
                </w:p>
              </w:tc>
              <w:tc>
                <w:tcPr>
                  <w:tcW w:w="2801" w:type="dxa"/>
                  <w:tcBorders>
                    <w:top w:val="nil"/>
                    <w:left w:val="nil"/>
                    <w:bottom w:val="single" w:sz="4" w:space="0" w:color="auto"/>
                    <w:right w:val="single" w:sz="4" w:space="0" w:color="auto"/>
                  </w:tcBorders>
                  <w:shd w:val="clear" w:color="auto" w:fill="auto"/>
                  <w:noWrap/>
                  <w:vAlign w:val="center"/>
                  <w:hideMark/>
                </w:tcPr>
                <w:p w:rsidR="00F535AC" w:rsidRPr="0080598B" w:rsidRDefault="00F535AC" w:rsidP="009A2380">
                  <w:pPr>
                    <w:jc w:val="center"/>
                    <w:rPr>
                      <w:rFonts w:ascii="Arial" w:hAnsi="Arial" w:cs="Arial"/>
                      <w:color w:val="000000"/>
                      <w:sz w:val="20"/>
                      <w:szCs w:val="20"/>
                    </w:rPr>
                  </w:pPr>
                  <w:r w:rsidRPr="0080598B">
                    <w:rPr>
                      <w:rFonts w:ascii="Arial" w:hAnsi="Arial" w:cs="Arial"/>
                      <w:color w:val="000000"/>
                      <w:sz w:val="20"/>
                      <w:szCs w:val="20"/>
                    </w:rPr>
                    <w:t>8</w:t>
                  </w:r>
                </w:p>
              </w:tc>
            </w:tr>
          </w:tbl>
          <w:p w:rsidR="00F535AC" w:rsidRPr="0080598B" w:rsidRDefault="00F535AC" w:rsidP="009E5567">
            <w:pPr>
              <w:autoSpaceDE w:val="0"/>
              <w:autoSpaceDN w:val="0"/>
              <w:adjustRightInd w:val="0"/>
              <w:jc w:val="both"/>
              <w:rPr>
                <w:rFonts w:ascii="Arial" w:hAnsi="Arial" w:cs="Arial"/>
                <w:b/>
                <w:sz w:val="20"/>
                <w:szCs w:val="20"/>
                <w:lang w:bidi="en-US"/>
              </w:rPr>
            </w:pPr>
          </w:p>
          <w:p w:rsidR="009E5567" w:rsidRPr="0080598B" w:rsidRDefault="009E5567" w:rsidP="009E5567">
            <w:pPr>
              <w:autoSpaceDE w:val="0"/>
              <w:autoSpaceDN w:val="0"/>
              <w:adjustRightInd w:val="0"/>
              <w:jc w:val="both"/>
              <w:rPr>
                <w:rFonts w:ascii="Arial" w:hAnsi="Arial" w:cs="Arial"/>
                <w:b/>
                <w:sz w:val="20"/>
                <w:szCs w:val="20"/>
                <w:lang w:bidi="en-US"/>
              </w:rPr>
            </w:pPr>
            <w:r w:rsidRPr="0080598B">
              <w:rPr>
                <w:rFonts w:ascii="Arial" w:hAnsi="Arial" w:cs="Arial"/>
                <w:b/>
                <w:sz w:val="20"/>
                <w:szCs w:val="20"/>
                <w:lang w:bidi="en-US"/>
              </w:rPr>
              <w:t>OBLIGACIONES DE LA PERSONERIA MUNICIPAL</w:t>
            </w:r>
          </w:p>
          <w:p w:rsidR="009E5567" w:rsidRPr="0080598B" w:rsidRDefault="009E5567" w:rsidP="009E5567">
            <w:pPr>
              <w:autoSpaceDE w:val="0"/>
              <w:autoSpaceDN w:val="0"/>
              <w:adjustRightInd w:val="0"/>
              <w:jc w:val="both"/>
              <w:rPr>
                <w:rFonts w:ascii="Arial" w:hAnsi="Arial" w:cs="Arial"/>
                <w:b/>
                <w:sz w:val="20"/>
                <w:szCs w:val="20"/>
                <w:lang w:bidi="en-US"/>
              </w:rPr>
            </w:pPr>
          </w:p>
          <w:p w:rsidR="009E5567" w:rsidRPr="0080598B" w:rsidRDefault="009E5567" w:rsidP="009E5567">
            <w:pPr>
              <w:pStyle w:val="Prrafodelista"/>
              <w:numPr>
                <w:ilvl w:val="0"/>
                <w:numId w:val="4"/>
              </w:numPr>
              <w:contextualSpacing/>
              <w:jc w:val="both"/>
              <w:rPr>
                <w:rFonts w:ascii="Arial" w:hAnsi="Arial" w:cs="Arial"/>
                <w:b/>
                <w:sz w:val="20"/>
                <w:szCs w:val="20"/>
                <w:lang w:val="es-ES"/>
              </w:rPr>
            </w:pPr>
            <w:r w:rsidRPr="0080598B">
              <w:rPr>
                <w:rFonts w:ascii="Arial" w:hAnsi="Arial" w:cs="Arial"/>
                <w:sz w:val="20"/>
                <w:szCs w:val="20"/>
                <w:lang w:val="es-ES"/>
              </w:rPr>
              <w:t>Ordenar el pago oportunamente al Contratista, previa presentación de la documentación requerida.</w:t>
            </w:r>
          </w:p>
          <w:p w:rsidR="009E5567" w:rsidRPr="0080598B" w:rsidRDefault="009E5567" w:rsidP="009E5567">
            <w:pPr>
              <w:pStyle w:val="Prrafodelista"/>
              <w:numPr>
                <w:ilvl w:val="0"/>
                <w:numId w:val="4"/>
              </w:numPr>
              <w:contextualSpacing/>
              <w:jc w:val="both"/>
              <w:rPr>
                <w:rFonts w:ascii="Arial" w:hAnsi="Arial" w:cs="Arial"/>
                <w:b/>
                <w:sz w:val="20"/>
                <w:szCs w:val="20"/>
                <w:lang w:val="es-ES"/>
              </w:rPr>
            </w:pPr>
            <w:r w:rsidRPr="0080598B">
              <w:rPr>
                <w:rFonts w:ascii="Arial" w:hAnsi="Arial" w:cs="Arial"/>
                <w:sz w:val="20"/>
                <w:szCs w:val="20"/>
                <w:lang w:val="es-ES"/>
              </w:rPr>
              <w:t>Entregar al Contratista la información requerida para el cumplimiento de las obligaciones del presente contrato.</w:t>
            </w:r>
          </w:p>
          <w:p w:rsidR="009E5567" w:rsidRPr="0080598B" w:rsidRDefault="009E5567" w:rsidP="009E5567">
            <w:pPr>
              <w:pStyle w:val="Prrafodelista"/>
              <w:numPr>
                <w:ilvl w:val="0"/>
                <w:numId w:val="4"/>
              </w:numPr>
              <w:contextualSpacing/>
              <w:jc w:val="both"/>
              <w:rPr>
                <w:rFonts w:ascii="Arial" w:hAnsi="Arial" w:cs="Arial"/>
                <w:b/>
                <w:sz w:val="20"/>
                <w:szCs w:val="20"/>
                <w:lang w:val="es-ES"/>
              </w:rPr>
            </w:pPr>
            <w:r w:rsidRPr="0080598B">
              <w:rPr>
                <w:rFonts w:ascii="Arial" w:hAnsi="Arial" w:cs="Arial"/>
                <w:sz w:val="20"/>
                <w:szCs w:val="20"/>
                <w:lang w:val="es-ES"/>
              </w:rPr>
              <w:t>Proveer las condiciones de apoyo necesarias para la adecuada realización de las actividades relacionadas con el objeto del contrato.</w:t>
            </w:r>
          </w:p>
          <w:p w:rsidR="002623DF" w:rsidRPr="0080598B" w:rsidRDefault="002623DF" w:rsidP="009E5567">
            <w:pPr>
              <w:pStyle w:val="Prrafodelista"/>
              <w:autoSpaceDE w:val="0"/>
              <w:autoSpaceDN w:val="0"/>
              <w:adjustRightInd w:val="0"/>
              <w:ind w:left="720"/>
              <w:jc w:val="both"/>
              <w:rPr>
                <w:rFonts w:ascii="Arial" w:hAnsi="Arial" w:cs="Arial"/>
                <w:sz w:val="20"/>
                <w:szCs w:val="20"/>
              </w:rPr>
            </w:pPr>
          </w:p>
        </w:tc>
      </w:tr>
      <w:tr w:rsidR="002623DF" w:rsidRPr="0080598B" w:rsidTr="00D015EE">
        <w:tc>
          <w:tcPr>
            <w:tcW w:w="9657" w:type="dxa"/>
            <w:gridSpan w:val="6"/>
          </w:tcPr>
          <w:p w:rsidR="002623DF" w:rsidRPr="0080598B" w:rsidRDefault="002623DF" w:rsidP="00D015EE">
            <w:pPr>
              <w:autoSpaceDE w:val="0"/>
              <w:autoSpaceDN w:val="0"/>
              <w:adjustRightInd w:val="0"/>
              <w:jc w:val="both"/>
              <w:rPr>
                <w:rFonts w:ascii="Arial" w:hAnsi="Arial" w:cs="Arial"/>
                <w:sz w:val="20"/>
                <w:szCs w:val="20"/>
              </w:rPr>
            </w:pPr>
            <w:r w:rsidRPr="0080598B">
              <w:rPr>
                <w:rFonts w:ascii="Arial" w:hAnsi="Arial" w:cs="Arial"/>
                <w:sz w:val="20"/>
                <w:szCs w:val="20"/>
              </w:rPr>
              <w:t>5.</w:t>
            </w:r>
            <w:r w:rsidRPr="0080598B">
              <w:rPr>
                <w:rFonts w:ascii="Arial" w:hAnsi="Arial" w:cs="Arial"/>
                <w:sz w:val="20"/>
                <w:szCs w:val="20"/>
              </w:rPr>
              <w:tab/>
              <w:t>PLAZO DEL CONTRATO:</w:t>
            </w:r>
          </w:p>
          <w:p w:rsidR="002623DF" w:rsidRPr="0080598B" w:rsidRDefault="002623DF" w:rsidP="00D015EE">
            <w:pPr>
              <w:autoSpaceDE w:val="0"/>
              <w:autoSpaceDN w:val="0"/>
              <w:adjustRightInd w:val="0"/>
              <w:jc w:val="both"/>
              <w:rPr>
                <w:rFonts w:ascii="Arial" w:hAnsi="Arial" w:cs="Arial"/>
                <w:sz w:val="20"/>
                <w:szCs w:val="20"/>
              </w:rPr>
            </w:pPr>
          </w:p>
          <w:p w:rsidR="009E5567" w:rsidRPr="0080598B" w:rsidRDefault="009A2380" w:rsidP="009E5567">
            <w:pPr>
              <w:autoSpaceDE w:val="0"/>
              <w:autoSpaceDN w:val="0"/>
              <w:adjustRightInd w:val="0"/>
              <w:jc w:val="both"/>
              <w:rPr>
                <w:rFonts w:ascii="Arial" w:hAnsi="Arial" w:cs="Arial"/>
                <w:color w:val="000000"/>
                <w:sz w:val="20"/>
                <w:szCs w:val="20"/>
              </w:rPr>
            </w:pPr>
            <w:r w:rsidRPr="0080598B">
              <w:rPr>
                <w:rFonts w:ascii="Arial" w:hAnsi="Arial" w:cs="Arial"/>
                <w:color w:val="000000"/>
                <w:sz w:val="20"/>
                <w:szCs w:val="20"/>
              </w:rPr>
              <w:t>Diez (10) días luego de la aceptación de la propuesta económica</w:t>
            </w:r>
          </w:p>
          <w:p w:rsidR="002623DF" w:rsidRPr="0080598B" w:rsidRDefault="002623DF" w:rsidP="00D015EE">
            <w:pPr>
              <w:autoSpaceDE w:val="0"/>
              <w:autoSpaceDN w:val="0"/>
              <w:adjustRightInd w:val="0"/>
              <w:jc w:val="both"/>
              <w:rPr>
                <w:rFonts w:ascii="Arial" w:hAnsi="Arial" w:cs="Arial"/>
                <w:bCs/>
                <w:sz w:val="20"/>
                <w:szCs w:val="20"/>
              </w:rPr>
            </w:pPr>
          </w:p>
        </w:tc>
      </w:tr>
      <w:tr w:rsidR="002623DF" w:rsidRPr="0080598B" w:rsidTr="00D015EE">
        <w:tc>
          <w:tcPr>
            <w:tcW w:w="9657" w:type="dxa"/>
            <w:gridSpan w:val="6"/>
          </w:tcPr>
          <w:p w:rsidR="002623DF" w:rsidRPr="0080598B" w:rsidRDefault="002623DF" w:rsidP="00D015EE">
            <w:pPr>
              <w:autoSpaceDE w:val="0"/>
              <w:autoSpaceDN w:val="0"/>
              <w:adjustRightInd w:val="0"/>
              <w:jc w:val="both"/>
              <w:rPr>
                <w:rFonts w:ascii="Arial" w:hAnsi="Arial" w:cs="Arial"/>
                <w:sz w:val="20"/>
                <w:szCs w:val="20"/>
              </w:rPr>
            </w:pPr>
            <w:r w:rsidRPr="0080598B">
              <w:rPr>
                <w:rFonts w:ascii="Arial" w:hAnsi="Arial" w:cs="Arial"/>
                <w:sz w:val="20"/>
                <w:szCs w:val="20"/>
              </w:rPr>
              <w:t>6.</w:t>
            </w:r>
            <w:r w:rsidRPr="0080598B">
              <w:rPr>
                <w:rFonts w:ascii="Arial" w:hAnsi="Arial" w:cs="Arial"/>
                <w:sz w:val="20"/>
                <w:szCs w:val="20"/>
              </w:rPr>
              <w:tab/>
              <w:t>LUGAR DE EJECUCIÓN DEL CONTRATO:</w:t>
            </w:r>
          </w:p>
          <w:p w:rsidR="002623DF" w:rsidRPr="0080598B" w:rsidRDefault="002623DF" w:rsidP="00D015EE">
            <w:pPr>
              <w:autoSpaceDE w:val="0"/>
              <w:autoSpaceDN w:val="0"/>
              <w:adjustRightInd w:val="0"/>
              <w:jc w:val="both"/>
              <w:rPr>
                <w:rFonts w:ascii="Arial" w:hAnsi="Arial" w:cs="Arial"/>
                <w:sz w:val="20"/>
                <w:szCs w:val="20"/>
              </w:rPr>
            </w:pPr>
          </w:p>
          <w:p w:rsidR="002623DF" w:rsidRPr="0080598B" w:rsidRDefault="009E5567" w:rsidP="009E5567">
            <w:pPr>
              <w:pStyle w:val="Default"/>
              <w:rPr>
                <w:sz w:val="20"/>
                <w:szCs w:val="20"/>
              </w:rPr>
            </w:pPr>
            <w:r w:rsidRPr="0080598B">
              <w:rPr>
                <w:bCs/>
                <w:sz w:val="20"/>
                <w:szCs w:val="20"/>
                <w:lang w:val="es-CO"/>
              </w:rPr>
              <w:t>Instalaciones de la Personería Municipal de Itagüí</w:t>
            </w:r>
          </w:p>
        </w:tc>
      </w:tr>
      <w:tr w:rsidR="002623DF" w:rsidRPr="0080598B" w:rsidTr="00D015EE">
        <w:tc>
          <w:tcPr>
            <w:tcW w:w="9657" w:type="dxa"/>
            <w:gridSpan w:val="6"/>
          </w:tcPr>
          <w:p w:rsidR="002623DF" w:rsidRPr="0080598B" w:rsidRDefault="002623DF" w:rsidP="00D015EE">
            <w:pPr>
              <w:autoSpaceDE w:val="0"/>
              <w:autoSpaceDN w:val="0"/>
              <w:adjustRightInd w:val="0"/>
              <w:jc w:val="both"/>
              <w:rPr>
                <w:rFonts w:ascii="Arial" w:hAnsi="Arial" w:cs="Arial"/>
                <w:sz w:val="20"/>
                <w:szCs w:val="20"/>
              </w:rPr>
            </w:pPr>
            <w:r w:rsidRPr="0080598B">
              <w:rPr>
                <w:rFonts w:ascii="Arial" w:hAnsi="Arial" w:cs="Arial"/>
                <w:sz w:val="20"/>
                <w:szCs w:val="20"/>
              </w:rPr>
              <w:t>7.</w:t>
            </w:r>
            <w:r w:rsidRPr="0080598B">
              <w:rPr>
                <w:rFonts w:ascii="Arial" w:hAnsi="Arial" w:cs="Arial"/>
                <w:sz w:val="20"/>
                <w:szCs w:val="20"/>
              </w:rPr>
              <w:tab/>
              <w:t>IDENTIFICACIÓN DEL CONTRATO A CELEBRAR:</w:t>
            </w:r>
          </w:p>
          <w:p w:rsidR="002623DF" w:rsidRPr="0080598B" w:rsidRDefault="002623DF" w:rsidP="00D015EE">
            <w:pPr>
              <w:autoSpaceDE w:val="0"/>
              <w:autoSpaceDN w:val="0"/>
              <w:adjustRightInd w:val="0"/>
              <w:jc w:val="both"/>
              <w:rPr>
                <w:rFonts w:ascii="Arial" w:hAnsi="Arial" w:cs="Arial"/>
                <w:sz w:val="20"/>
                <w:szCs w:val="20"/>
              </w:rPr>
            </w:pPr>
          </w:p>
          <w:p w:rsidR="002623DF" w:rsidRPr="0080598B" w:rsidRDefault="009C428E" w:rsidP="009C428E">
            <w:pPr>
              <w:jc w:val="both"/>
              <w:rPr>
                <w:rFonts w:ascii="Arial" w:hAnsi="Arial" w:cs="Arial"/>
                <w:sz w:val="20"/>
                <w:szCs w:val="20"/>
              </w:rPr>
            </w:pPr>
            <w:r w:rsidRPr="0080598B">
              <w:rPr>
                <w:rFonts w:ascii="Arial" w:hAnsi="Arial" w:cs="Arial"/>
                <w:sz w:val="20"/>
                <w:szCs w:val="20"/>
              </w:rPr>
              <w:t xml:space="preserve">Dadas las características del objeto contractual, el contrato a celebrar es de </w:t>
            </w:r>
            <w:r w:rsidR="0080598B" w:rsidRPr="0080598B">
              <w:rPr>
                <w:rFonts w:ascii="Arial" w:hAnsi="Arial" w:cs="Arial"/>
                <w:sz w:val="20"/>
                <w:szCs w:val="20"/>
              </w:rPr>
              <w:t>compra - venta</w:t>
            </w:r>
            <w:r w:rsidRPr="0080598B">
              <w:rPr>
                <w:rFonts w:ascii="Arial" w:hAnsi="Arial" w:cs="Arial"/>
                <w:sz w:val="20"/>
                <w:szCs w:val="20"/>
              </w:rPr>
              <w:t xml:space="preserve"> conforme con lo dispuesto en el Estatuto General de Contratación de la Administración Pública, Ley 80 de 1993, y normas concordantes.</w:t>
            </w:r>
          </w:p>
          <w:p w:rsidR="002623DF" w:rsidRPr="0080598B" w:rsidRDefault="002623DF" w:rsidP="00D015EE">
            <w:pPr>
              <w:autoSpaceDE w:val="0"/>
              <w:autoSpaceDN w:val="0"/>
              <w:adjustRightInd w:val="0"/>
              <w:jc w:val="both"/>
              <w:rPr>
                <w:rFonts w:ascii="Arial" w:hAnsi="Arial" w:cs="Arial"/>
                <w:sz w:val="20"/>
                <w:szCs w:val="20"/>
              </w:rPr>
            </w:pPr>
          </w:p>
        </w:tc>
      </w:tr>
      <w:tr w:rsidR="002623DF" w:rsidRPr="0080598B" w:rsidTr="00D015EE">
        <w:tc>
          <w:tcPr>
            <w:tcW w:w="9657" w:type="dxa"/>
            <w:gridSpan w:val="6"/>
          </w:tcPr>
          <w:p w:rsidR="002623DF" w:rsidRPr="0080598B" w:rsidRDefault="002623DF" w:rsidP="00D015EE">
            <w:pPr>
              <w:autoSpaceDE w:val="0"/>
              <w:autoSpaceDN w:val="0"/>
              <w:adjustRightInd w:val="0"/>
              <w:jc w:val="both"/>
              <w:rPr>
                <w:rFonts w:ascii="Arial" w:hAnsi="Arial" w:cs="Arial"/>
                <w:sz w:val="20"/>
                <w:szCs w:val="20"/>
              </w:rPr>
            </w:pPr>
            <w:r w:rsidRPr="0080598B">
              <w:rPr>
                <w:rFonts w:ascii="Arial" w:hAnsi="Arial" w:cs="Arial"/>
                <w:sz w:val="20"/>
                <w:szCs w:val="20"/>
              </w:rPr>
              <w:t>8.</w:t>
            </w:r>
            <w:r w:rsidRPr="0080598B">
              <w:rPr>
                <w:rFonts w:ascii="Arial" w:hAnsi="Arial" w:cs="Arial"/>
                <w:sz w:val="20"/>
                <w:szCs w:val="20"/>
              </w:rPr>
              <w:tab/>
              <w:t>FUNDAMENTOS JURÍDICOS QUE SOPORTA</w:t>
            </w:r>
            <w:r w:rsidR="0080598B" w:rsidRPr="0080598B">
              <w:rPr>
                <w:rFonts w:ascii="Arial" w:hAnsi="Arial" w:cs="Arial"/>
                <w:sz w:val="20"/>
                <w:szCs w:val="20"/>
              </w:rPr>
              <w:t>N LA MODALIDAD DE SELECCIÓN:</w:t>
            </w:r>
          </w:p>
          <w:p w:rsidR="002623DF" w:rsidRPr="0080598B" w:rsidRDefault="002623DF" w:rsidP="00D015EE">
            <w:pPr>
              <w:autoSpaceDE w:val="0"/>
              <w:autoSpaceDN w:val="0"/>
              <w:adjustRightInd w:val="0"/>
              <w:jc w:val="both"/>
              <w:rPr>
                <w:rFonts w:ascii="Arial" w:hAnsi="Arial" w:cs="Arial"/>
                <w:sz w:val="20"/>
                <w:szCs w:val="20"/>
              </w:rPr>
            </w:pPr>
          </w:p>
          <w:p w:rsidR="002623DF" w:rsidRPr="0080598B" w:rsidRDefault="009C428E" w:rsidP="0080598B">
            <w:pPr>
              <w:pStyle w:val="Default"/>
              <w:jc w:val="both"/>
              <w:rPr>
                <w:sz w:val="20"/>
                <w:szCs w:val="20"/>
              </w:rPr>
            </w:pPr>
            <w:r w:rsidRPr="0080598B">
              <w:rPr>
                <w:sz w:val="20"/>
                <w:szCs w:val="20"/>
              </w:rPr>
              <w:t xml:space="preserve">El presente estudio se hace bajo la modalidad de mínima cuantía aplicable a la contratación cuyo valor no excede del 10% de la menor cuantía de la entidad, independientemente de su objeto. Ley 80 de 1993, Ley 1150 de 2007, Ley1474 de 2011, artículo 94, </w:t>
            </w:r>
            <w:proofErr w:type="spellStart"/>
            <w:r w:rsidRPr="0080598B">
              <w:rPr>
                <w:sz w:val="20"/>
                <w:szCs w:val="20"/>
              </w:rPr>
              <w:t>Subsección</w:t>
            </w:r>
            <w:proofErr w:type="spellEnd"/>
            <w:r w:rsidRPr="0080598B">
              <w:rPr>
                <w:sz w:val="20"/>
                <w:szCs w:val="20"/>
              </w:rPr>
              <w:t xml:space="preserve"> 5ª – Mínima Cuantía – Decreto 1082 de 2015.</w:t>
            </w:r>
          </w:p>
        </w:tc>
      </w:tr>
      <w:tr w:rsidR="002623DF" w:rsidRPr="0080598B" w:rsidTr="00D015EE">
        <w:tc>
          <w:tcPr>
            <w:tcW w:w="9657" w:type="dxa"/>
            <w:gridSpan w:val="6"/>
          </w:tcPr>
          <w:p w:rsidR="0080598B" w:rsidRPr="0080598B" w:rsidRDefault="0080598B" w:rsidP="00D015EE">
            <w:pPr>
              <w:autoSpaceDE w:val="0"/>
              <w:autoSpaceDN w:val="0"/>
              <w:adjustRightInd w:val="0"/>
              <w:jc w:val="both"/>
              <w:rPr>
                <w:rFonts w:ascii="Arial" w:hAnsi="Arial" w:cs="Arial"/>
                <w:sz w:val="20"/>
                <w:szCs w:val="20"/>
              </w:rPr>
            </w:pPr>
          </w:p>
          <w:p w:rsidR="002623DF" w:rsidRPr="0080598B" w:rsidRDefault="002623DF" w:rsidP="00D015EE">
            <w:pPr>
              <w:autoSpaceDE w:val="0"/>
              <w:autoSpaceDN w:val="0"/>
              <w:adjustRightInd w:val="0"/>
              <w:jc w:val="both"/>
              <w:rPr>
                <w:rFonts w:ascii="Arial" w:hAnsi="Arial" w:cs="Arial"/>
                <w:sz w:val="20"/>
                <w:szCs w:val="20"/>
              </w:rPr>
            </w:pPr>
            <w:r w:rsidRPr="0080598B">
              <w:rPr>
                <w:rFonts w:ascii="Arial" w:hAnsi="Arial" w:cs="Arial"/>
                <w:sz w:val="20"/>
                <w:szCs w:val="20"/>
              </w:rPr>
              <w:t>9.</w:t>
            </w:r>
            <w:r w:rsidRPr="0080598B">
              <w:rPr>
                <w:rFonts w:ascii="Arial" w:hAnsi="Arial" w:cs="Arial"/>
                <w:sz w:val="20"/>
                <w:szCs w:val="20"/>
              </w:rPr>
              <w:tab/>
              <w:t>SUPERVISION DEL CONTRATO:</w:t>
            </w:r>
          </w:p>
          <w:p w:rsidR="002623DF" w:rsidRPr="0080598B" w:rsidRDefault="002623DF" w:rsidP="00D015EE">
            <w:pPr>
              <w:autoSpaceDE w:val="0"/>
              <w:autoSpaceDN w:val="0"/>
              <w:adjustRightInd w:val="0"/>
              <w:jc w:val="both"/>
              <w:rPr>
                <w:rFonts w:ascii="Arial" w:hAnsi="Arial" w:cs="Arial"/>
                <w:sz w:val="20"/>
                <w:szCs w:val="20"/>
              </w:rPr>
            </w:pPr>
          </w:p>
          <w:p w:rsidR="002623DF" w:rsidRPr="0080598B" w:rsidRDefault="002623DF" w:rsidP="00D015EE">
            <w:pPr>
              <w:autoSpaceDE w:val="0"/>
              <w:autoSpaceDN w:val="0"/>
              <w:adjustRightInd w:val="0"/>
              <w:jc w:val="both"/>
              <w:rPr>
                <w:rFonts w:ascii="Arial" w:hAnsi="Arial" w:cs="Arial"/>
                <w:sz w:val="20"/>
                <w:szCs w:val="20"/>
              </w:rPr>
            </w:pPr>
            <w:r w:rsidRPr="0080598B">
              <w:rPr>
                <w:rFonts w:ascii="Arial" w:hAnsi="Arial" w:cs="Arial"/>
                <w:sz w:val="20"/>
                <w:szCs w:val="20"/>
              </w:rPr>
              <w:t xml:space="preserve">La Supervisión de este contrato estará a cargo del Personero o a quien el Personero delegue, </w:t>
            </w:r>
            <w:r w:rsidRPr="0080598B">
              <w:rPr>
                <w:rFonts w:ascii="Arial" w:hAnsi="Arial" w:cs="Arial"/>
                <w:sz w:val="20"/>
                <w:szCs w:val="20"/>
                <w:lang w:val="es-ES_tradnl"/>
              </w:rPr>
              <w:t>conforme a lo dispuesto en las Leyes 80 de 1993, 1150 de 2007 y 1474 de 2011.</w:t>
            </w:r>
          </w:p>
        </w:tc>
      </w:tr>
      <w:tr w:rsidR="002623DF" w:rsidRPr="0080598B" w:rsidTr="0080598B">
        <w:trPr>
          <w:trHeight w:val="5733"/>
        </w:trPr>
        <w:tc>
          <w:tcPr>
            <w:tcW w:w="9657" w:type="dxa"/>
            <w:gridSpan w:val="6"/>
          </w:tcPr>
          <w:p w:rsidR="0080598B" w:rsidRPr="0080598B" w:rsidRDefault="0080598B" w:rsidP="00D015EE">
            <w:pPr>
              <w:autoSpaceDE w:val="0"/>
              <w:autoSpaceDN w:val="0"/>
              <w:adjustRightInd w:val="0"/>
              <w:jc w:val="both"/>
              <w:rPr>
                <w:rFonts w:ascii="Arial" w:hAnsi="Arial" w:cs="Arial"/>
                <w:sz w:val="20"/>
                <w:szCs w:val="20"/>
              </w:rPr>
            </w:pPr>
          </w:p>
          <w:p w:rsidR="002623DF" w:rsidRPr="0080598B" w:rsidRDefault="002623DF" w:rsidP="00D015EE">
            <w:pPr>
              <w:autoSpaceDE w:val="0"/>
              <w:autoSpaceDN w:val="0"/>
              <w:adjustRightInd w:val="0"/>
              <w:jc w:val="both"/>
              <w:rPr>
                <w:rFonts w:ascii="Arial" w:eastAsiaTheme="minorEastAsia" w:hAnsi="Arial" w:cs="Arial"/>
                <w:sz w:val="20"/>
                <w:szCs w:val="20"/>
              </w:rPr>
            </w:pPr>
            <w:r w:rsidRPr="0080598B">
              <w:rPr>
                <w:rFonts w:ascii="Arial" w:hAnsi="Arial" w:cs="Arial"/>
                <w:sz w:val="20"/>
                <w:szCs w:val="20"/>
              </w:rPr>
              <w:t>10.</w:t>
            </w:r>
            <w:r w:rsidRPr="0080598B">
              <w:rPr>
                <w:rFonts w:ascii="Arial" w:hAnsi="Arial" w:cs="Arial"/>
                <w:sz w:val="20"/>
                <w:szCs w:val="20"/>
              </w:rPr>
              <w:tab/>
            </w:r>
            <w:r w:rsidRPr="0080598B">
              <w:rPr>
                <w:rFonts w:ascii="Arial" w:eastAsiaTheme="minorEastAsia" w:hAnsi="Arial" w:cs="Arial"/>
                <w:sz w:val="20"/>
                <w:szCs w:val="20"/>
              </w:rPr>
              <w:t>PRESUPUESTO  Y ANALISIS DEL VALOR ESTIMADO DEL CONTRATO:</w:t>
            </w:r>
          </w:p>
          <w:p w:rsidR="002623DF" w:rsidRPr="0080598B" w:rsidRDefault="002623DF" w:rsidP="00D015EE">
            <w:pPr>
              <w:autoSpaceDE w:val="0"/>
              <w:autoSpaceDN w:val="0"/>
              <w:adjustRightInd w:val="0"/>
              <w:jc w:val="both"/>
              <w:rPr>
                <w:rFonts w:ascii="Arial" w:eastAsiaTheme="minorEastAsia" w:hAnsi="Arial" w:cs="Arial"/>
                <w:sz w:val="20"/>
                <w:szCs w:val="20"/>
              </w:rPr>
            </w:pPr>
          </w:p>
          <w:p w:rsidR="002623DF" w:rsidRPr="0080598B" w:rsidRDefault="002623DF" w:rsidP="00D015EE">
            <w:pPr>
              <w:jc w:val="both"/>
              <w:rPr>
                <w:rFonts w:ascii="Arial" w:eastAsiaTheme="minorEastAsia" w:hAnsi="Arial" w:cs="Arial"/>
                <w:sz w:val="20"/>
                <w:szCs w:val="20"/>
              </w:rPr>
            </w:pPr>
            <w:r w:rsidRPr="0080598B">
              <w:rPr>
                <w:rFonts w:ascii="Arial" w:eastAsiaTheme="minorEastAsia" w:hAnsi="Arial" w:cs="Arial"/>
                <w:sz w:val="20"/>
                <w:szCs w:val="20"/>
              </w:rPr>
              <w:t>El presupuesto oficial es por la suma de</w:t>
            </w:r>
            <w:r w:rsidR="009C428E" w:rsidRPr="0080598B">
              <w:rPr>
                <w:rFonts w:ascii="Arial" w:eastAsiaTheme="minorEastAsia" w:hAnsi="Arial" w:cs="Arial"/>
                <w:sz w:val="20"/>
                <w:szCs w:val="20"/>
              </w:rPr>
              <w:t xml:space="preserve"> </w:t>
            </w:r>
            <w:r w:rsidR="0080598B" w:rsidRPr="0080598B">
              <w:rPr>
                <w:rFonts w:ascii="Arial" w:eastAsiaTheme="minorEastAsia" w:hAnsi="Arial" w:cs="Arial"/>
                <w:sz w:val="20"/>
                <w:szCs w:val="20"/>
              </w:rPr>
              <w:t>CUATRO</w:t>
            </w:r>
            <w:r w:rsidR="009A2380" w:rsidRPr="0080598B">
              <w:rPr>
                <w:rFonts w:ascii="Arial" w:eastAsiaTheme="minorEastAsia" w:hAnsi="Arial" w:cs="Arial"/>
                <w:sz w:val="20"/>
                <w:szCs w:val="20"/>
              </w:rPr>
              <w:t xml:space="preserve"> </w:t>
            </w:r>
            <w:r w:rsidR="009C428E" w:rsidRPr="0080598B">
              <w:rPr>
                <w:rFonts w:ascii="Arial" w:eastAsiaTheme="minorEastAsia" w:hAnsi="Arial" w:cs="Arial"/>
                <w:sz w:val="20"/>
                <w:szCs w:val="20"/>
              </w:rPr>
              <w:t xml:space="preserve">MILLONES </w:t>
            </w:r>
            <w:r w:rsidR="0080598B" w:rsidRPr="0080598B">
              <w:rPr>
                <w:rFonts w:ascii="Arial" w:eastAsiaTheme="minorEastAsia" w:hAnsi="Arial" w:cs="Arial"/>
                <w:sz w:val="20"/>
                <w:szCs w:val="20"/>
              </w:rPr>
              <w:t>DE</w:t>
            </w:r>
            <w:r w:rsidR="009C428E" w:rsidRPr="0080598B">
              <w:rPr>
                <w:rFonts w:ascii="Arial" w:eastAsiaTheme="minorEastAsia" w:hAnsi="Arial" w:cs="Arial"/>
                <w:sz w:val="20"/>
                <w:szCs w:val="20"/>
              </w:rPr>
              <w:t xml:space="preserve"> PESOS ($</w:t>
            </w:r>
            <w:r w:rsidR="0080598B" w:rsidRPr="0080598B">
              <w:rPr>
                <w:rFonts w:ascii="Arial" w:eastAsiaTheme="minorEastAsia" w:hAnsi="Arial" w:cs="Arial"/>
                <w:sz w:val="20"/>
                <w:szCs w:val="20"/>
              </w:rPr>
              <w:t>4.0</w:t>
            </w:r>
            <w:r w:rsidR="009C428E" w:rsidRPr="0080598B">
              <w:rPr>
                <w:rFonts w:ascii="Arial" w:eastAsiaTheme="minorEastAsia" w:hAnsi="Arial" w:cs="Arial"/>
                <w:sz w:val="20"/>
                <w:szCs w:val="20"/>
              </w:rPr>
              <w:t>00.000)</w:t>
            </w:r>
            <w:r w:rsidRPr="0080598B">
              <w:rPr>
                <w:rFonts w:ascii="Arial" w:eastAsiaTheme="minorEastAsia" w:hAnsi="Arial" w:cs="Arial"/>
                <w:sz w:val="20"/>
                <w:szCs w:val="20"/>
              </w:rPr>
              <w:t xml:space="preserve"> para lo cual se cuenta con el certificado de disponibilidad presupuestal número </w:t>
            </w:r>
            <w:r w:rsidR="0080598B" w:rsidRPr="0080598B">
              <w:rPr>
                <w:rFonts w:ascii="Arial" w:eastAsiaTheme="minorEastAsia" w:hAnsi="Arial" w:cs="Arial"/>
                <w:sz w:val="20"/>
                <w:szCs w:val="20"/>
              </w:rPr>
              <w:t>1049</w:t>
            </w:r>
            <w:r w:rsidRPr="0080598B">
              <w:rPr>
                <w:rFonts w:ascii="Arial" w:eastAsiaTheme="minorEastAsia" w:hAnsi="Arial" w:cs="Arial"/>
                <w:sz w:val="20"/>
                <w:szCs w:val="20"/>
              </w:rPr>
              <w:t xml:space="preserve"> con fecha del </w:t>
            </w:r>
            <w:r w:rsidR="0080598B" w:rsidRPr="0080598B">
              <w:rPr>
                <w:rFonts w:ascii="Arial" w:eastAsiaTheme="minorEastAsia" w:hAnsi="Arial" w:cs="Arial"/>
                <w:sz w:val="20"/>
                <w:szCs w:val="20"/>
              </w:rPr>
              <w:t xml:space="preserve">10 </w:t>
            </w:r>
            <w:r w:rsidR="009C428E" w:rsidRPr="0080598B">
              <w:rPr>
                <w:rFonts w:ascii="Arial" w:eastAsiaTheme="minorEastAsia" w:hAnsi="Arial" w:cs="Arial"/>
                <w:sz w:val="20"/>
                <w:szCs w:val="20"/>
              </w:rPr>
              <w:t xml:space="preserve">de </w:t>
            </w:r>
            <w:r w:rsidR="0080598B" w:rsidRPr="0080598B">
              <w:rPr>
                <w:rFonts w:ascii="Arial" w:eastAsiaTheme="minorEastAsia" w:hAnsi="Arial" w:cs="Arial"/>
                <w:sz w:val="20"/>
                <w:szCs w:val="20"/>
              </w:rPr>
              <w:t>junio</w:t>
            </w:r>
            <w:r w:rsidR="009A2380" w:rsidRPr="0080598B">
              <w:rPr>
                <w:rFonts w:ascii="Arial" w:eastAsiaTheme="minorEastAsia" w:hAnsi="Arial" w:cs="Arial"/>
                <w:sz w:val="20"/>
                <w:szCs w:val="20"/>
              </w:rPr>
              <w:t xml:space="preserve"> de </w:t>
            </w:r>
            <w:r w:rsidR="009C428E" w:rsidRPr="0080598B">
              <w:rPr>
                <w:rFonts w:ascii="Arial" w:eastAsiaTheme="minorEastAsia" w:hAnsi="Arial" w:cs="Arial"/>
                <w:sz w:val="20"/>
                <w:szCs w:val="20"/>
              </w:rPr>
              <w:t xml:space="preserve">2022, </w:t>
            </w:r>
            <w:r w:rsidRPr="0080598B">
              <w:rPr>
                <w:rFonts w:ascii="Arial" w:eastAsiaTheme="minorEastAsia" w:hAnsi="Arial" w:cs="Arial"/>
                <w:sz w:val="20"/>
                <w:szCs w:val="20"/>
              </w:rPr>
              <w:t>a</w:t>
            </w:r>
            <w:r w:rsidR="009C428E" w:rsidRPr="0080598B">
              <w:rPr>
                <w:rFonts w:ascii="Arial" w:eastAsiaTheme="minorEastAsia" w:hAnsi="Arial" w:cs="Arial"/>
                <w:sz w:val="20"/>
                <w:szCs w:val="20"/>
              </w:rPr>
              <w:t>fectando el rubro presupuestal:</w:t>
            </w:r>
          </w:p>
          <w:p w:rsidR="009A2380" w:rsidRPr="0080598B" w:rsidRDefault="009A2380" w:rsidP="00D015EE">
            <w:pPr>
              <w:jc w:val="both"/>
              <w:rPr>
                <w:rFonts w:ascii="Arial" w:eastAsiaTheme="minorEastAsia" w:hAnsi="Arial" w:cs="Arial"/>
                <w:sz w:val="20"/>
                <w:szCs w:val="20"/>
              </w:rPr>
            </w:pPr>
          </w:p>
          <w:tbl>
            <w:tblPr>
              <w:tblStyle w:val="Tablaconcuadrcula"/>
              <w:tblW w:w="9243" w:type="dxa"/>
              <w:tblLook w:val="04A0"/>
            </w:tblPr>
            <w:tblGrid>
              <w:gridCol w:w="1138"/>
              <w:gridCol w:w="3042"/>
              <w:gridCol w:w="3929"/>
              <w:gridCol w:w="1134"/>
            </w:tblGrid>
            <w:tr w:rsidR="009A2380" w:rsidRPr="0080598B" w:rsidTr="009A2380">
              <w:trPr>
                <w:trHeight w:val="428"/>
              </w:trPr>
              <w:tc>
                <w:tcPr>
                  <w:tcW w:w="1138" w:type="dxa"/>
                  <w:shd w:val="clear" w:color="auto" w:fill="D9D9D9" w:themeFill="background1" w:themeFillShade="D9"/>
                  <w:vAlign w:val="center"/>
                </w:tcPr>
                <w:p w:rsidR="009A2380" w:rsidRPr="0080598B" w:rsidRDefault="009A2380" w:rsidP="009A2380">
                  <w:pPr>
                    <w:jc w:val="center"/>
                    <w:rPr>
                      <w:rFonts w:ascii="Arial" w:hAnsi="Arial" w:cs="Arial"/>
                      <w:b/>
                      <w:sz w:val="20"/>
                      <w:szCs w:val="20"/>
                    </w:rPr>
                  </w:pPr>
                  <w:r w:rsidRPr="0080598B">
                    <w:rPr>
                      <w:rFonts w:ascii="Arial" w:hAnsi="Arial" w:cs="Arial"/>
                      <w:b/>
                      <w:sz w:val="20"/>
                      <w:szCs w:val="20"/>
                    </w:rPr>
                    <w:t>CÓDIGO</w:t>
                  </w:r>
                </w:p>
              </w:tc>
              <w:tc>
                <w:tcPr>
                  <w:tcW w:w="3042" w:type="dxa"/>
                  <w:shd w:val="clear" w:color="auto" w:fill="D9D9D9" w:themeFill="background1" w:themeFillShade="D9"/>
                  <w:vAlign w:val="center"/>
                </w:tcPr>
                <w:p w:rsidR="009A2380" w:rsidRPr="0080598B" w:rsidRDefault="009A2380" w:rsidP="009A2380">
                  <w:pPr>
                    <w:jc w:val="center"/>
                    <w:rPr>
                      <w:rFonts w:ascii="Arial" w:hAnsi="Arial" w:cs="Arial"/>
                      <w:b/>
                      <w:sz w:val="20"/>
                      <w:szCs w:val="20"/>
                    </w:rPr>
                  </w:pPr>
                  <w:r w:rsidRPr="0080598B">
                    <w:rPr>
                      <w:rFonts w:ascii="Arial" w:hAnsi="Arial" w:cs="Arial"/>
                      <w:b/>
                      <w:sz w:val="20"/>
                      <w:szCs w:val="20"/>
                    </w:rPr>
                    <w:t>RUBRO</w:t>
                  </w:r>
                </w:p>
              </w:tc>
              <w:tc>
                <w:tcPr>
                  <w:tcW w:w="3929" w:type="dxa"/>
                  <w:shd w:val="clear" w:color="auto" w:fill="D9D9D9" w:themeFill="background1" w:themeFillShade="D9"/>
                  <w:vAlign w:val="center"/>
                </w:tcPr>
                <w:p w:rsidR="009A2380" w:rsidRPr="0080598B" w:rsidRDefault="009A2380" w:rsidP="009A2380">
                  <w:pPr>
                    <w:jc w:val="center"/>
                    <w:rPr>
                      <w:rFonts w:ascii="Arial" w:hAnsi="Arial" w:cs="Arial"/>
                      <w:b/>
                      <w:sz w:val="20"/>
                      <w:szCs w:val="20"/>
                    </w:rPr>
                  </w:pPr>
                  <w:r w:rsidRPr="0080598B">
                    <w:rPr>
                      <w:rFonts w:ascii="Arial" w:hAnsi="Arial" w:cs="Arial"/>
                      <w:b/>
                      <w:sz w:val="20"/>
                      <w:szCs w:val="20"/>
                    </w:rPr>
                    <w:t>DENOMINACIÓN</w:t>
                  </w:r>
                </w:p>
              </w:tc>
              <w:tc>
                <w:tcPr>
                  <w:tcW w:w="1134" w:type="dxa"/>
                  <w:shd w:val="clear" w:color="auto" w:fill="D9D9D9" w:themeFill="background1" w:themeFillShade="D9"/>
                  <w:vAlign w:val="center"/>
                </w:tcPr>
                <w:p w:rsidR="009A2380" w:rsidRPr="0080598B" w:rsidRDefault="009A2380" w:rsidP="009A2380">
                  <w:pPr>
                    <w:jc w:val="center"/>
                    <w:rPr>
                      <w:rFonts w:ascii="Arial" w:hAnsi="Arial" w:cs="Arial"/>
                      <w:b/>
                      <w:sz w:val="20"/>
                      <w:szCs w:val="20"/>
                    </w:rPr>
                  </w:pPr>
                  <w:r w:rsidRPr="0080598B">
                    <w:rPr>
                      <w:rFonts w:ascii="Arial" w:hAnsi="Arial" w:cs="Arial"/>
                      <w:b/>
                      <w:sz w:val="20"/>
                      <w:szCs w:val="20"/>
                    </w:rPr>
                    <w:t>VALOR</w:t>
                  </w:r>
                </w:p>
              </w:tc>
            </w:tr>
            <w:tr w:rsidR="009A2380" w:rsidRPr="0080598B" w:rsidTr="009A2380">
              <w:trPr>
                <w:trHeight w:val="489"/>
              </w:trPr>
              <w:tc>
                <w:tcPr>
                  <w:tcW w:w="1138" w:type="dxa"/>
                  <w:vAlign w:val="center"/>
                </w:tcPr>
                <w:p w:rsidR="009A2380" w:rsidRPr="0080598B" w:rsidRDefault="009A2380" w:rsidP="009A2380">
                  <w:pPr>
                    <w:jc w:val="center"/>
                    <w:rPr>
                      <w:rFonts w:ascii="Arial" w:hAnsi="Arial" w:cs="Arial"/>
                      <w:sz w:val="20"/>
                      <w:szCs w:val="20"/>
                    </w:rPr>
                  </w:pPr>
                  <w:r w:rsidRPr="0080598B">
                    <w:rPr>
                      <w:rFonts w:ascii="Arial" w:hAnsi="Arial" w:cs="Arial"/>
                      <w:sz w:val="20"/>
                      <w:szCs w:val="20"/>
                    </w:rPr>
                    <w:t>16</w:t>
                  </w:r>
                </w:p>
              </w:tc>
              <w:tc>
                <w:tcPr>
                  <w:tcW w:w="3042" w:type="dxa"/>
                  <w:vAlign w:val="bottom"/>
                </w:tcPr>
                <w:p w:rsidR="009A2380" w:rsidRPr="0080598B" w:rsidRDefault="009A2380" w:rsidP="009A2380">
                  <w:pPr>
                    <w:jc w:val="center"/>
                    <w:rPr>
                      <w:rFonts w:ascii="Arial" w:hAnsi="Arial" w:cs="Arial"/>
                      <w:color w:val="000000"/>
                      <w:sz w:val="20"/>
                      <w:szCs w:val="20"/>
                    </w:rPr>
                  </w:pPr>
                  <w:r w:rsidRPr="0080598B">
                    <w:rPr>
                      <w:rFonts w:ascii="Arial" w:hAnsi="Arial" w:cs="Arial"/>
                      <w:color w:val="000000"/>
                      <w:sz w:val="20"/>
                      <w:szCs w:val="20"/>
                    </w:rPr>
                    <w:t>16.2.1.2.01.01.003.03.01.01-01</w:t>
                  </w:r>
                </w:p>
              </w:tc>
              <w:tc>
                <w:tcPr>
                  <w:tcW w:w="3929" w:type="dxa"/>
                  <w:vAlign w:val="bottom"/>
                </w:tcPr>
                <w:p w:rsidR="009A2380" w:rsidRPr="0080598B" w:rsidRDefault="009A2380" w:rsidP="009A2380">
                  <w:pPr>
                    <w:jc w:val="center"/>
                    <w:rPr>
                      <w:rFonts w:ascii="Arial" w:hAnsi="Arial" w:cs="Arial"/>
                      <w:color w:val="000000"/>
                      <w:sz w:val="20"/>
                      <w:szCs w:val="20"/>
                    </w:rPr>
                  </w:pPr>
                  <w:r w:rsidRPr="0080598B">
                    <w:rPr>
                      <w:rFonts w:ascii="Arial" w:hAnsi="Arial" w:cs="Arial"/>
                      <w:color w:val="000000"/>
                      <w:sz w:val="20"/>
                      <w:szCs w:val="20"/>
                    </w:rPr>
                    <w:t>MÁQUINAS PARA OFICINA Y CONTABILIDAD, Y SUS PARTES Y ACCESORIOS | MUEBLES Y ENSERES</w:t>
                  </w:r>
                </w:p>
              </w:tc>
              <w:tc>
                <w:tcPr>
                  <w:tcW w:w="1134" w:type="dxa"/>
                  <w:vAlign w:val="center"/>
                </w:tcPr>
                <w:p w:rsidR="009A2380" w:rsidRPr="0080598B" w:rsidRDefault="009A2380" w:rsidP="009A2380">
                  <w:pPr>
                    <w:jc w:val="center"/>
                    <w:rPr>
                      <w:rFonts w:ascii="Arial" w:hAnsi="Arial" w:cs="Arial"/>
                      <w:sz w:val="20"/>
                      <w:szCs w:val="20"/>
                    </w:rPr>
                  </w:pPr>
                  <w:r w:rsidRPr="0080598B">
                    <w:rPr>
                      <w:rFonts w:ascii="Arial" w:hAnsi="Arial" w:cs="Arial"/>
                      <w:sz w:val="20"/>
                      <w:szCs w:val="20"/>
                    </w:rPr>
                    <w:t>8.500.000</w:t>
                  </w:r>
                </w:p>
              </w:tc>
            </w:tr>
          </w:tbl>
          <w:p w:rsidR="009A2380" w:rsidRPr="0080598B" w:rsidRDefault="009A2380" w:rsidP="00D015EE">
            <w:pPr>
              <w:jc w:val="both"/>
              <w:rPr>
                <w:rFonts w:ascii="Arial" w:eastAsiaTheme="minorEastAsia" w:hAnsi="Arial" w:cs="Arial"/>
                <w:sz w:val="20"/>
                <w:szCs w:val="20"/>
              </w:rPr>
            </w:pPr>
          </w:p>
          <w:p w:rsidR="002623DF" w:rsidRPr="0080598B" w:rsidRDefault="002623DF" w:rsidP="00D015EE">
            <w:pPr>
              <w:jc w:val="both"/>
              <w:rPr>
                <w:rFonts w:ascii="Arial" w:eastAsiaTheme="minorEastAsia" w:hAnsi="Arial" w:cs="Arial"/>
                <w:sz w:val="20"/>
                <w:szCs w:val="20"/>
              </w:rPr>
            </w:pPr>
            <w:r w:rsidRPr="0080598B">
              <w:rPr>
                <w:rFonts w:ascii="Arial" w:eastAsiaTheme="minorEastAsia" w:hAnsi="Arial" w:cs="Arial"/>
                <w:sz w:val="20"/>
                <w:szCs w:val="20"/>
              </w:rPr>
              <w:t>IMPUESTOS QUE SE CAUSAN LA CONTRATACIÓN OBJETO DE ESTUDIO:</w:t>
            </w:r>
          </w:p>
          <w:p w:rsidR="002623DF" w:rsidRPr="0080598B" w:rsidRDefault="002623DF" w:rsidP="00D015EE">
            <w:pPr>
              <w:jc w:val="both"/>
              <w:rPr>
                <w:rFonts w:ascii="Arial" w:eastAsiaTheme="minorEastAsia" w:hAnsi="Arial" w:cs="Arial"/>
                <w:sz w:val="20"/>
                <w:szCs w:val="20"/>
              </w:rPr>
            </w:pPr>
          </w:p>
          <w:p w:rsidR="002623DF" w:rsidRPr="0080598B" w:rsidRDefault="002623DF" w:rsidP="00D015EE">
            <w:pPr>
              <w:spacing w:line="276" w:lineRule="auto"/>
              <w:jc w:val="both"/>
              <w:rPr>
                <w:rFonts w:ascii="Arial" w:hAnsi="Arial" w:cs="Arial"/>
                <w:sz w:val="20"/>
                <w:szCs w:val="20"/>
              </w:rPr>
            </w:pPr>
            <w:r w:rsidRPr="0080598B">
              <w:rPr>
                <w:rFonts w:ascii="Arial" w:hAnsi="Arial" w:cs="Arial"/>
                <w:sz w:val="20"/>
                <w:szCs w:val="20"/>
              </w:rPr>
              <w:t xml:space="preserve">EL CONTRATISTA deberá pagar los impuestos municipales a que hubiere lugar, así como la "ESTAMPILLA PROBIENESTAR DEL ANCIANO Y CENTROS DE ATENCION PARA LA TERCERA EDAD" </w:t>
            </w:r>
          </w:p>
          <w:p w:rsidR="009C428E" w:rsidRPr="0080598B" w:rsidRDefault="009C428E" w:rsidP="00D015EE">
            <w:pPr>
              <w:spacing w:line="276" w:lineRule="auto"/>
              <w:jc w:val="both"/>
              <w:rPr>
                <w:rFonts w:ascii="Arial" w:hAnsi="Arial" w:cs="Arial"/>
                <w:sz w:val="20"/>
                <w:szCs w:val="20"/>
              </w:rPr>
            </w:pPr>
          </w:p>
          <w:p w:rsidR="002623DF" w:rsidRPr="0080598B" w:rsidRDefault="002623DF" w:rsidP="00D015EE">
            <w:pPr>
              <w:autoSpaceDE w:val="0"/>
              <w:autoSpaceDN w:val="0"/>
              <w:adjustRightInd w:val="0"/>
              <w:jc w:val="both"/>
              <w:rPr>
                <w:rFonts w:ascii="Arial" w:hAnsi="Arial" w:cs="Arial"/>
                <w:sz w:val="20"/>
                <w:szCs w:val="20"/>
              </w:rPr>
            </w:pPr>
            <w:r w:rsidRPr="0080598B">
              <w:rPr>
                <w:rFonts w:ascii="Arial" w:hAnsi="Arial" w:cs="Arial"/>
                <w:sz w:val="20"/>
                <w:szCs w:val="20"/>
              </w:rPr>
              <w:t>ESTUDIO DEL MERCADO:</w:t>
            </w:r>
          </w:p>
          <w:p w:rsidR="002623DF" w:rsidRPr="0080598B" w:rsidRDefault="0080598B" w:rsidP="00D015EE">
            <w:pPr>
              <w:autoSpaceDE w:val="0"/>
              <w:autoSpaceDN w:val="0"/>
              <w:adjustRightInd w:val="0"/>
              <w:jc w:val="both"/>
              <w:rPr>
                <w:rFonts w:ascii="Arial" w:hAnsi="Arial" w:cs="Arial"/>
                <w:sz w:val="20"/>
                <w:szCs w:val="20"/>
              </w:rPr>
            </w:pPr>
            <w:r w:rsidRPr="0080598B">
              <w:rPr>
                <w:rFonts w:ascii="Arial" w:hAnsi="Arial" w:cs="Arial"/>
                <w:sz w:val="20"/>
                <w:szCs w:val="20"/>
              </w:rPr>
              <w:object w:dxaOrig="4320" w:dyaOrig="1771">
                <v:shape id="_x0000_i1055" type="#_x0000_t75" style="width:446.5pt;height:182.7pt" o:ole="">
                  <v:imagedata r:id="rId10" o:title=""/>
                </v:shape>
                <o:OLEObject Type="Embed" ProgID="PBrush" ShapeID="_x0000_i1055" DrawAspect="Content" ObjectID="_1716366630" r:id="rId11"/>
              </w:object>
            </w:r>
          </w:p>
          <w:p w:rsidR="0080598B" w:rsidRPr="0080598B" w:rsidRDefault="0080598B" w:rsidP="00477541">
            <w:pPr>
              <w:jc w:val="both"/>
              <w:rPr>
                <w:rFonts w:ascii="Arial" w:hAnsi="Arial" w:cs="Arial"/>
                <w:sz w:val="20"/>
                <w:szCs w:val="20"/>
              </w:rPr>
            </w:pPr>
          </w:p>
          <w:p w:rsidR="009C428E" w:rsidRPr="0080598B" w:rsidRDefault="00237487" w:rsidP="00477541">
            <w:pPr>
              <w:jc w:val="both"/>
              <w:rPr>
                <w:rFonts w:ascii="Arial" w:hAnsi="Arial" w:cs="Arial"/>
                <w:sz w:val="20"/>
                <w:szCs w:val="20"/>
              </w:rPr>
            </w:pPr>
            <w:r w:rsidRPr="0080598B">
              <w:rPr>
                <w:rFonts w:ascii="Arial" w:hAnsi="Arial" w:cs="Arial"/>
                <w:sz w:val="20"/>
                <w:szCs w:val="20"/>
              </w:rPr>
              <w:t>ANÁLISIS DEL SECTOR</w:t>
            </w:r>
          </w:p>
          <w:p w:rsidR="00237487" w:rsidRPr="0080598B" w:rsidRDefault="00237487" w:rsidP="00477541">
            <w:pPr>
              <w:jc w:val="both"/>
              <w:rPr>
                <w:rFonts w:ascii="Arial" w:hAnsi="Arial" w:cs="Arial"/>
                <w:sz w:val="20"/>
                <w:szCs w:val="20"/>
              </w:rPr>
            </w:pPr>
          </w:p>
          <w:p w:rsidR="00237487" w:rsidRPr="0080598B" w:rsidRDefault="00EB1C87" w:rsidP="00477541">
            <w:pPr>
              <w:jc w:val="both"/>
              <w:rPr>
                <w:rFonts w:ascii="Arial" w:hAnsi="Arial" w:cs="Arial"/>
                <w:sz w:val="20"/>
                <w:szCs w:val="20"/>
              </w:rPr>
            </w:pPr>
            <w:r w:rsidRPr="0080598B">
              <w:rPr>
                <w:rFonts w:ascii="Arial" w:hAnsi="Arial" w:cs="Arial"/>
                <w:sz w:val="20"/>
                <w:szCs w:val="20"/>
              </w:rPr>
              <w:t>…</w:t>
            </w:r>
            <w:r w:rsidR="00D2518E" w:rsidRPr="0080598B">
              <w:rPr>
                <w:rFonts w:ascii="Arial" w:hAnsi="Arial" w:cs="Arial"/>
                <w:sz w:val="20"/>
                <w:szCs w:val="20"/>
              </w:rPr>
              <w:t>El sector de la manufactura es una actividad fundamental en la economía colombiana, se ha caracterizado por ser promotor de crecimiento y generación de empleo para muchos colombianos en los últimos años. Es una industria con gran impacto en el desarrollo regional que ayuda a impulsar la ciencia, la innovación y la tecnología. Colombia cuenta con una industria manufacturera en crecimiento, con un alto potencial de desarrollo que ha superado varias adversidades que hoy se enfrenta a una emergencia de salud pública ocasionada por la COVID-19. La economía Colombiana se ha visto con mayor afectación durante el periodo de la pandemia por un dólar sobre los $4.000 pesos, un barril de petróleo a $25 USD, aumento del desempleo, disminución de la actividad económica y caída de las exportaciones e importaciones.</w:t>
            </w:r>
          </w:p>
          <w:p w:rsidR="00237487" w:rsidRPr="0080598B" w:rsidRDefault="00237487" w:rsidP="00477541">
            <w:pPr>
              <w:jc w:val="both"/>
              <w:rPr>
                <w:rFonts w:ascii="Arial" w:hAnsi="Arial" w:cs="Arial"/>
                <w:sz w:val="20"/>
                <w:szCs w:val="20"/>
              </w:rPr>
            </w:pPr>
          </w:p>
          <w:p w:rsidR="00237487" w:rsidRPr="0080598B" w:rsidRDefault="00D2518E" w:rsidP="00477541">
            <w:pPr>
              <w:jc w:val="both"/>
              <w:rPr>
                <w:rFonts w:ascii="Arial" w:hAnsi="Arial" w:cs="Arial"/>
                <w:sz w:val="20"/>
                <w:szCs w:val="20"/>
              </w:rPr>
            </w:pPr>
            <w:r w:rsidRPr="0080598B">
              <w:rPr>
                <w:rFonts w:ascii="Arial" w:hAnsi="Arial" w:cs="Arial"/>
                <w:sz w:val="20"/>
                <w:szCs w:val="20"/>
              </w:rPr>
              <w:t>Según los autores (</w:t>
            </w:r>
            <w:proofErr w:type="spellStart"/>
            <w:r w:rsidRPr="0080598B">
              <w:rPr>
                <w:rFonts w:ascii="Arial" w:hAnsi="Arial" w:cs="Arial"/>
                <w:sz w:val="20"/>
                <w:szCs w:val="20"/>
              </w:rPr>
              <w:t>Kazanas</w:t>
            </w:r>
            <w:proofErr w:type="spellEnd"/>
            <w:r w:rsidRPr="0080598B">
              <w:rPr>
                <w:rFonts w:ascii="Arial" w:hAnsi="Arial" w:cs="Arial"/>
                <w:sz w:val="20"/>
                <w:szCs w:val="20"/>
              </w:rPr>
              <w:t xml:space="preserve">, H.C, </w:t>
            </w:r>
            <w:proofErr w:type="gramStart"/>
            <w:r w:rsidRPr="0080598B">
              <w:rPr>
                <w:rFonts w:ascii="Arial" w:hAnsi="Arial" w:cs="Arial"/>
                <w:sz w:val="20"/>
                <w:szCs w:val="20"/>
              </w:rPr>
              <w:t>1983 )</w:t>
            </w:r>
            <w:proofErr w:type="gramEnd"/>
            <w:r w:rsidRPr="0080598B">
              <w:rPr>
                <w:rFonts w:ascii="Arial" w:hAnsi="Arial" w:cs="Arial"/>
                <w:sz w:val="20"/>
                <w:szCs w:val="20"/>
              </w:rPr>
              <w:t xml:space="preserve"> “la manufactura es el proceso de coordinación de personal, herramientas, y máquinas para convertir materias primas en productos útiles” (p,10). La industria manufacturera aportó el 11,4% al Producto Interno Bruto “P.I.B” colombiano, según cálculos del equipo de Investigaciones Económicas del Banco de Bogotá basados en datos (</w:t>
            </w:r>
            <w:proofErr w:type="spellStart"/>
            <w:r w:rsidRPr="0080598B">
              <w:rPr>
                <w:rFonts w:ascii="Arial" w:hAnsi="Arial" w:cs="Arial"/>
                <w:sz w:val="20"/>
                <w:szCs w:val="20"/>
              </w:rPr>
              <w:t>incomercio</w:t>
            </w:r>
            <w:proofErr w:type="spellEnd"/>
            <w:r w:rsidRPr="0080598B">
              <w:rPr>
                <w:rFonts w:ascii="Arial" w:hAnsi="Arial" w:cs="Arial"/>
                <w:sz w:val="20"/>
                <w:szCs w:val="20"/>
              </w:rPr>
              <w:t xml:space="preserve"> "DANE", 2020). El ministerio de comercio, industria y turismo reporta que la producción real de manufactura aumentó a 4,6% en febrero del 2020 con respecto al año anterior y creció un 1,7% (Gráfico 1). Según cifras del (</w:t>
            </w:r>
            <w:proofErr w:type="spellStart"/>
            <w:r w:rsidRPr="0080598B">
              <w:rPr>
                <w:rFonts w:ascii="Arial" w:hAnsi="Arial" w:cs="Arial"/>
                <w:sz w:val="20"/>
                <w:szCs w:val="20"/>
              </w:rPr>
              <w:t>Mincomercio</w:t>
            </w:r>
            <w:proofErr w:type="spellEnd"/>
            <w:r w:rsidRPr="0080598B">
              <w:rPr>
                <w:rFonts w:ascii="Arial" w:hAnsi="Arial" w:cs="Arial"/>
                <w:sz w:val="20"/>
                <w:szCs w:val="20"/>
              </w:rPr>
              <w:t xml:space="preserve"> "DANE", 2020</w:t>
            </w:r>
            <w:proofErr w:type="gramStart"/>
            <w:r w:rsidRPr="0080598B">
              <w:rPr>
                <w:rFonts w:ascii="Arial" w:hAnsi="Arial" w:cs="Arial"/>
                <w:sz w:val="20"/>
                <w:szCs w:val="20"/>
              </w:rPr>
              <w:t>) ,</w:t>
            </w:r>
            <w:proofErr w:type="gramEnd"/>
            <w:r w:rsidRPr="0080598B">
              <w:rPr>
                <w:rFonts w:ascii="Arial" w:hAnsi="Arial" w:cs="Arial"/>
                <w:sz w:val="20"/>
                <w:szCs w:val="20"/>
              </w:rPr>
              <w:t xml:space="preserve"> esta industria es la cuarta industria de mayor generación de empleo.</w:t>
            </w:r>
          </w:p>
          <w:p w:rsidR="00D2518E" w:rsidRPr="0080598B" w:rsidRDefault="00D2518E" w:rsidP="00477541">
            <w:pPr>
              <w:jc w:val="both"/>
              <w:rPr>
                <w:rFonts w:ascii="Arial" w:hAnsi="Arial" w:cs="Arial"/>
                <w:sz w:val="20"/>
                <w:szCs w:val="20"/>
              </w:rPr>
            </w:pPr>
          </w:p>
          <w:p w:rsidR="00D2518E" w:rsidRPr="0080598B" w:rsidRDefault="00D2518E" w:rsidP="00477541">
            <w:pPr>
              <w:jc w:val="both"/>
              <w:rPr>
                <w:rFonts w:ascii="Arial" w:hAnsi="Arial" w:cs="Arial"/>
                <w:sz w:val="20"/>
                <w:szCs w:val="20"/>
              </w:rPr>
            </w:pPr>
            <w:r w:rsidRPr="0080598B">
              <w:rPr>
                <w:rFonts w:ascii="Arial" w:hAnsi="Arial" w:cs="Arial"/>
                <w:sz w:val="20"/>
                <w:szCs w:val="20"/>
              </w:rPr>
              <w:t>Producción real del sector manufacturero Grafica 1.Producción Real del Sector Manufacturero</w:t>
            </w:r>
          </w:p>
          <w:p w:rsidR="00D2518E" w:rsidRPr="0080598B" w:rsidRDefault="00D2518E" w:rsidP="00477541">
            <w:pPr>
              <w:jc w:val="both"/>
              <w:rPr>
                <w:rFonts w:ascii="Arial" w:hAnsi="Arial" w:cs="Arial"/>
                <w:sz w:val="20"/>
                <w:szCs w:val="20"/>
              </w:rPr>
            </w:pPr>
          </w:p>
          <w:p w:rsidR="00D2518E" w:rsidRPr="0080598B" w:rsidRDefault="00D2518E" w:rsidP="00477541">
            <w:pPr>
              <w:jc w:val="both"/>
              <w:rPr>
                <w:rFonts w:ascii="Arial" w:hAnsi="Arial" w:cs="Arial"/>
                <w:sz w:val="20"/>
                <w:szCs w:val="20"/>
              </w:rPr>
            </w:pPr>
            <w:r w:rsidRPr="0080598B">
              <w:rPr>
                <w:rFonts w:ascii="Arial" w:hAnsi="Arial" w:cs="Arial"/>
                <w:sz w:val="20"/>
                <w:szCs w:val="20"/>
              </w:rPr>
              <w:object w:dxaOrig="5775" w:dyaOrig="4260">
                <v:shape id="_x0000_i1054" type="#_x0000_t75" style="width:259.55pt;height:191.2pt" o:ole="">
                  <v:imagedata r:id="rId12" o:title=""/>
                </v:shape>
                <o:OLEObject Type="Embed" ProgID="PBrush" ShapeID="_x0000_i1054" DrawAspect="Content" ObjectID="_1716366631" r:id="rId13"/>
              </w:object>
            </w:r>
          </w:p>
          <w:p w:rsidR="00D2518E" w:rsidRPr="0080598B" w:rsidRDefault="00D2518E" w:rsidP="00477541">
            <w:pPr>
              <w:jc w:val="both"/>
              <w:rPr>
                <w:rFonts w:ascii="Arial" w:hAnsi="Arial" w:cs="Arial"/>
                <w:sz w:val="20"/>
                <w:szCs w:val="20"/>
              </w:rPr>
            </w:pPr>
          </w:p>
          <w:p w:rsidR="00E23315" w:rsidRPr="0080598B" w:rsidRDefault="00E23315" w:rsidP="00477541">
            <w:pPr>
              <w:jc w:val="both"/>
              <w:rPr>
                <w:rFonts w:ascii="Arial" w:hAnsi="Arial" w:cs="Arial"/>
                <w:sz w:val="20"/>
                <w:szCs w:val="20"/>
              </w:rPr>
            </w:pPr>
            <w:r w:rsidRPr="0080598B">
              <w:rPr>
                <w:rFonts w:ascii="Arial" w:hAnsi="Arial" w:cs="Arial"/>
                <w:sz w:val="20"/>
                <w:szCs w:val="20"/>
              </w:rPr>
              <w:t xml:space="preserve">Colombia cuenta con una industria manufacturera en crecimiento y madura en algunos subsectores, muy diversificada, con experiencia exportadora y con un mejoramiento de su capacidad instalada. Durante la década de los 1990, se abrió la economía al comercio internacional, creando un escenario de crecimiento y desarrollo al sector. Según los autores </w:t>
            </w:r>
            <w:proofErr w:type="gramStart"/>
            <w:r w:rsidRPr="0080598B">
              <w:rPr>
                <w:rFonts w:ascii="Arial" w:hAnsi="Arial" w:cs="Arial"/>
                <w:sz w:val="20"/>
                <w:szCs w:val="20"/>
              </w:rPr>
              <w:t xml:space="preserve">( </w:t>
            </w:r>
            <w:proofErr w:type="spellStart"/>
            <w:r w:rsidRPr="0080598B">
              <w:rPr>
                <w:rFonts w:ascii="Arial" w:hAnsi="Arial" w:cs="Arial"/>
                <w:sz w:val="20"/>
                <w:szCs w:val="20"/>
              </w:rPr>
              <w:t>Melèndez</w:t>
            </w:r>
            <w:proofErr w:type="spellEnd"/>
            <w:proofErr w:type="gramEnd"/>
            <w:r w:rsidRPr="0080598B">
              <w:rPr>
                <w:rFonts w:ascii="Arial" w:hAnsi="Arial" w:cs="Arial"/>
                <w:sz w:val="20"/>
                <w:szCs w:val="20"/>
              </w:rPr>
              <w:t xml:space="preserve"> y </w:t>
            </w:r>
            <w:proofErr w:type="spellStart"/>
            <w:r w:rsidRPr="0080598B">
              <w:rPr>
                <w:rFonts w:ascii="Arial" w:hAnsi="Arial" w:cs="Arial"/>
                <w:sz w:val="20"/>
                <w:szCs w:val="20"/>
              </w:rPr>
              <w:t>Seim</w:t>
            </w:r>
            <w:proofErr w:type="spellEnd"/>
            <w:r w:rsidRPr="0080598B">
              <w:rPr>
                <w:rFonts w:ascii="Arial" w:hAnsi="Arial" w:cs="Arial"/>
                <w:sz w:val="20"/>
                <w:szCs w:val="20"/>
              </w:rPr>
              <w:t>, 2002) “existen diferentes canales mediante los cuales la apertura comercial puede afectar la productividad industrial. Una posible explicación es el cambio tecnológico. El acceso a materias primas y equipos de producción importados puede llevar a que las firmas sean más eficientes” (p</w:t>
            </w:r>
            <w:proofErr w:type="gramStart"/>
            <w:r w:rsidRPr="0080598B">
              <w:rPr>
                <w:rFonts w:ascii="Arial" w:hAnsi="Arial" w:cs="Arial"/>
                <w:sz w:val="20"/>
                <w:szCs w:val="20"/>
              </w:rPr>
              <w:t>,3</w:t>
            </w:r>
            <w:proofErr w:type="gramEnd"/>
            <w:r w:rsidRPr="0080598B">
              <w:rPr>
                <w:rFonts w:ascii="Arial" w:hAnsi="Arial" w:cs="Arial"/>
                <w:sz w:val="20"/>
                <w:szCs w:val="20"/>
              </w:rPr>
              <w:t xml:space="preserve">). Estos canales permitieron un crecimiento en la productividad del sector y todo gracias a los avances e implementación de las nuevas tecnologías para la transformación de productos de la mano con la innovación. </w:t>
            </w:r>
          </w:p>
          <w:p w:rsidR="00E23315" w:rsidRPr="0080598B" w:rsidRDefault="00E23315" w:rsidP="00477541">
            <w:pPr>
              <w:jc w:val="both"/>
              <w:rPr>
                <w:rFonts w:ascii="Arial" w:hAnsi="Arial" w:cs="Arial"/>
                <w:sz w:val="20"/>
                <w:szCs w:val="20"/>
              </w:rPr>
            </w:pPr>
          </w:p>
          <w:p w:rsidR="00E23315" w:rsidRPr="0080598B" w:rsidRDefault="00E23315" w:rsidP="00477541">
            <w:pPr>
              <w:jc w:val="both"/>
              <w:rPr>
                <w:rFonts w:ascii="Arial" w:hAnsi="Arial" w:cs="Arial"/>
                <w:sz w:val="20"/>
                <w:szCs w:val="20"/>
              </w:rPr>
            </w:pPr>
            <w:r w:rsidRPr="0080598B">
              <w:rPr>
                <w:rFonts w:ascii="Arial" w:hAnsi="Arial" w:cs="Arial"/>
                <w:b/>
                <w:sz w:val="20"/>
                <w:szCs w:val="20"/>
              </w:rPr>
              <w:t>Efectos de la Covid-19 en el sector manufacturero</w:t>
            </w:r>
            <w:proofErr w:type="gramStart"/>
            <w:r w:rsidRPr="0080598B">
              <w:rPr>
                <w:rFonts w:ascii="Arial" w:hAnsi="Arial" w:cs="Arial"/>
                <w:sz w:val="20"/>
                <w:szCs w:val="20"/>
              </w:rPr>
              <w:t>:  La</w:t>
            </w:r>
            <w:proofErr w:type="gramEnd"/>
            <w:r w:rsidRPr="0080598B">
              <w:rPr>
                <w:rFonts w:ascii="Arial" w:hAnsi="Arial" w:cs="Arial"/>
                <w:sz w:val="20"/>
                <w:szCs w:val="20"/>
              </w:rPr>
              <w:t xml:space="preserve"> Covid-19 fue declarada por la Organización Mundial de la Salud (OMS), como una emergencia de salud pública de preocupación internacional el 30 de enero del 2020. El 11 de Marzo del mismo año fue declarada por la OMS como pandemia, es decir que esta epidemia se ha expandido por varios países afectando a un gran número de personas. La OMS recomendó a los estados adoptar medidas de prevención para mitigar el contagio, con este lineamiento se adoptaron medidas estrictas e inmediatas en el territorio colombiano, que tuvieron como intención garantizar la protección y salud de los habitantes, es por ello que, el presidente de la república Iván Duque, declara emergencia sanitaria en todo el país el 12 de Marzo del 2020. </w:t>
            </w:r>
          </w:p>
          <w:p w:rsidR="00E23315" w:rsidRPr="0080598B" w:rsidRDefault="00E23315" w:rsidP="00477541">
            <w:pPr>
              <w:jc w:val="both"/>
              <w:rPr>
                <w:rFonts w:ascii="Arial" w:hAnsi="Arial" w:cs="Arial"/>
                <w:sz w:val="20"/>
                <w:szCs w:val="20"/>
              </w:rPr>
            </w:pPr>
          </w:p>
          <w:p w:rsidR="00E23315" w:rsidRPr="0080598B" w:rsidRDefault="00E23315" w:rsidP="00477541">
            <w:pPr>
              <w:jc w:val="both"/>
              <w:rPr>
                <w:rFonts w:ascii="Arial" w:hAnsi="Arial" w:cs="Arial"/>
                <w:sz w:val="20"/>
                <w:szCs w:val="20"/>
              </w:rPr>
            </w:pPr>
            <w:r w:rsidRPr="0080598B">
              <w:rPr>
                <w:rFonts w:ascii="Arial" w:hAnsi="Arial" w:cs="Arial"/>
                <w:sz w:val="20"/>
                <w:szCs w:val="20"/>
              </w:rPr>
              <w:t xml:space="preserve">Con la premisa de que es prioridad cuidar la vida de las personas, el gobierno implementó la medida del aislamiento, como estrategia para mitigar el riesgo de contagio y proteger a la población Colombiana. Esta medida generó un gran impacto sobre la producción, la oferta, la demanda y todos los actores del mercado, repercutiendo en gran medida sobre la productividad del sector manufacturero, pues dada su naturaleza se requiere de capital humano, instalaciones y tecnología con presencia física para poder realizar su actividad. </w:t>
            </w:r>
          </w:p>
          <w:p w:rsidR="00E23315" w:rsidRPr="0080598B" w:rsidRDefault="00E23315" w:rsidP="00477541">
            <w:pPr>
              <w:jc w:val="both"/>
              <w:rPr>
                <w:rFonts w:ascii="Arial" w:hAnsi="Arial" w:cs="Arial"/>
                <w:sz w:val="20"/>
                <w:szCs w:val="20"/>
              </w:rPr>
            </w:pPr>
          </w:p>
          <w:p w:rsidR="00E23315" w:rsidRPr="0080598B" w:rsidRDefault="00E23315" w:rsidP="00477541">
            <w:pPr>
              <w:jc w:val="both"/>
              <w:rPr>
                <w:rFonts w:ascii="Arial" w:hAnsi="Arial" w:cs="Arial"/>
                <w:sz w:val="20"/>
                <w:szCs w:val="20"/>
              </w:rPr>
            </w:pPr>
            <w:r w:rsidRPr="0080598B">
              <w:rPr>
                <w:rFonts w:ascii="Arial" w:hAnsi="Arial" w:cs="Arial"/>
                <w:sz w:val="20"/>
                <w:szCs w:val="20"/>
              </w:rPr>
              <w:t>Acorde con (</w:t>
            </w:r>
            <w:proofErr w:type="spellStart"/>
            <w:r w:rsidRPr="0080598B">
              <w:rPr>
                <w:rFonts w:ascii="Arial" w:hAnsi="Arial" w:cs="Arial"/>
                <w:sz w:val="20"/>
                <w:szCs w:val="20"/>
              </w:rPr>
              <w:t>Acopi</w:t>
            </w:r>
            <w:proofErr w:type="spellEnd"/>
            <w:r w:rsidRPr="0080598B">
              <w:rPr>
                <w:rFonts w:ascii="Arial" w:hAnsi="Arial" w:cs="Arial"/>
                <w:sz w:val="20"/>
                <w:szCs w:val="20"/>
              </w:rPr>
              <w:t xml:space="preserve">, 2020) “las principales preocupaciones de los empresarios están relacionadas, en cómo pagar los créditos establecidos con las entidades financieras, el pago de nómina de trabajadores, la cancelación de tributos y registros mercantiles. De igual forma, las obligaciones en el pago de arrendamientos”. (p, 5). </w:t>
            </w:r>
          </w:p>
          <w:p w:rsidR="00E23315" w:rsidRPr="0080598B" w:rsidRDefault="00E23315" w:rsidP="00477541">
            <w:pPr>
              <w:jc w:val="both"/>
              <w:rPr>
                <w:rFonts w:ascii="Arial" w:hAnsi="Arial" w:cs="Arial"/>
                <w:sz w:val="20"/>
                <w:szCs w:val="20"/>
              </w:rPr>
            </w:pPr>
            <w:r w:rsidRPr="0080598B">
              <w:rPr>
                <w:rFonts w:ascii="Arial" w:hAnsi="Arial" w:cs="Arial"/>
                <w:sz w:val="20"/>
                <w:szCs w:val="20"/>
              </w:rPr>
              <w:t xml:space="preserve">El aumento del desempleo en esta industria es preocupante, las empresas han visto afectada su liquidez a causa de la caída en sus ventas, lo que ha derivado en recortes de personal muy a pesar de los empresarios, de hecho (Alejandra Osorio, 2020) Subdirectora de </w:t>
            </w:r>
            <w:proofErr w:type="spellStart"/>
            <w:r w:rsidRPr="0080598B">
              <w:rPr>
                <w:rFonts w:ascii="Arial" w:hAnsi="Arial" w:cs="Arial"/>
                <w:sz w:val="20"/>
                <w:szCs w:val="20"/>
              </w:rPr>
              <w:t>Acopi</w:t>
            </w:r>
            <w:proofErr w:type="spellEnd"/>
            <w:r w:rsidRPr="0080598B">
              <w:rPr>
                <w:rFonts w:ascii="Arial" w:hAnsi="Arial" w:cs="Arial"/>
                <w:sz w:val="20"/>
                <w:szCs w:val="20"/>
              </w:rPr>
              <w:t xml:space="preserve"> Bogotá y Cundinamarca, expresa que “la manufactura tiene una curva de entrenamiento de su mano de obra que valora el empresario. Además, su mano de obra, integrada por operarios y obreros, es formal y tiene estabilidad; la gran mayoría del tejido empresarial son empresas que tienen hasta 10 trabajadores”. Adicional en estos subsectores, los trabajadores de estas empresas son mujeres cabeza de familia. </w:t>
            </w:r>
          </w:p>
          <w:p w:rsidR="00E23315" w:rsidRPr="0080598B" w:rsidRDefault="00E23315" w:rsidP="00477541">
            <w:pPr>
              <w:jc w:val="both"/>
              <w:rPr>
                <w:rFonts w:ascii="Arial" w:hAnsi="Arial" w:cs="Arial"/>
                <w:sz w:val="20"/>
                <w:szCs w:val="20"/>
              </w:rPr>
            </w:pPr>
          </w:p>
          <w:p w:rsidR="00E23315" w:rsidRPr="0080598B" w:rsidRDefault="00E23315" w:rsidP="00477541">
            <w:pPr>
              <w:jc w:val="both"/>
              <w:rPr>
                <w:rFonts w:ascii="Arial" w:hAnsi="Arial" w:cs="Arial"/>
                <w:sz w:val="20"/>
                <w:szCs w:val="20"/>
              </w:rPr>
            </w:pPr>
            <w:r w:rsidRPr="0080598B">
              <w:rPr>
                <w:rFonts w:ascii="Arial" w:hAnsi="Arial" w:cs="Arial"/>
                <w:sz w:val="20"/>
                <w:szCs w:val="20"/>
              </w:rPr>
              <w:t xml:space="preserve">El gobierno de la república emitió la resolución número 675 el 24 de abril del 2020 (Ministerio de Salud y </w:t>
            </w:r>
            <w:proofErr w:type="spellStart"/>
            <w:r w:rsidRPr="0080598B">
              <w:rPr>
                <w:rFonts w:ascii="Arial" w:hAnsi="Arial" w:cs="Arial"/>
                <w:sz w:val="20"/>
                <w:szCs w:val="20"/>
              </w:rPr>
              <w:t>Protecccion</w:t>
            </w:r>
            <w:proofErr w:type="spellEnd"/>
            <w:r w:rsidRPr="0080598B">
              <w:rPr>
                <w:rFonts w:ascii="Arial" w:hAnsi="Arial" w:cs="Arial"/>
                <w:sz w:val="20"/>
                <w:szCs w:val="20"/>
              </w:rPr>
              <w:t xml:space="preserve"> Social "</w:t>
            </w:r>
            <w:proofErr w:type="spellStart"/>
            <w:r w:rsidRPr="0080598B">
              <w:rPr>
                <w:rFonts w:ascii="Arial" w:hAnsi="Arial" w:cs="Arial"/>
                <w:sz w:val="20"/>
                <w:szCs w:val="20"/>
              </w:rPr>
              <w:t>Minsalud</w:t>
            </w:r>
            <w:proofErr w:type="spellEnd"/>
            <w:r w:rsidRPr="0080598B">
              <w:rPr>
                <w:rFonts w:ascii="Arial" w:hAnsi="Arial" w:cs="Arial"/>
                <w:sz w:val="20"/>
                <w:szCs w:val="20"/>
              </w:rPr>
              <w:t xml:space="preserve">", 2020) por la cual se adopta el protocolo de bioseguridad para el manejo y control del riesgo del coronavirus en la industria manufacturera. Se da apertura el 27 de abril a algunos subsectores, buscando mejorar la estabilidad y las condiciones de los empresarios y trabajadores, para poder reactivar el sector bajo estrictos protocolos de bioseguridad. </w:t>
            </w:r>
          </w:p>
          <w:p w:rsidR="00E23315" w:rsidRPr="0080598B" w:rsidRDefault="00E23315" w:rsidP="00477541">
            <w:pPr>
              <w:jc w:val="both"/>
              <w:rPr>
                <w:rFonts w:ascii="Arial" w:hAnsi="Arial" w:cs="Arial"/>
                <w:sz w:val="20"/>
                <w:szCs w:val="20"/>
              </w:rPr>
            </w:pPr>
          </w:p>
          <w:p w:rsidR="006C51E0" w:rsidRPr="0080598B" w:rsidRDefault="00E23315" w:rsidP="00477541">
            <w:pPr>
              <w:jc w:val="both"/>
              <w:rPr>
                <w:rFonts w:ascii="Arial" w:hAnsi="Arial" w:cs="Arial"/>
                <w:sz w:val="20"/>
                <w:szCs w:val="20"/>
              </w:rPr>
            </w:pPr>
            <w:r w:rsidRPr="0080598B">
              <w:rPr>
                <w:rFonts w:ascii="Arial" w:hAnsi="Arial" w:cs="Arial"/>
                <w:b/>
                <w:sz w:val="20"/>
                <w:szCs w:val="20"/>
              </w:rPr>
              <w:t>Perspectiva de transformación del sector manufacturero en Colombia</w:t>
            </w:r>
            <w:r w:rsidRPr="0080598B">
              <w:rPr>
                <w:rFonts w:ascii="Arial" w:hAnsi="Arial" w:cs="Arial"/>
                <w:sz w:val="20"/>
                <w:szCs w:val="20"/>
              </w:rPr>
              <w:t>: Adicional a los esfuerzos que haga el Gobierno por reactivar este sector es primordial un cambio desde la misma industria que permita innovar para hacer parte de una Economía más competitiva, Según autor (</w:t>
            </w:r>
            <w:proofErr w:type="spellStart"/>
            <w:r w:rsidRPr="0080598B">
              <w:rPr>
                <w:rFonts w:ascii="Arial" w:hAnsi="Arial" w:cs="Arial"/>
                <w:sz w:val="20"/>
                <w:szCs w:val="20"/>
              </w:rPr>
              <w:t>Carmenza</w:t>
            </w:r>
            <w:proofErr w:type="spellEnd"/>
            <w:r w:rsidRPr="0080598B">
              <w:rPr>
                <w:rFonts w:ascii="Arial" w:hAnsi="Arial" w:cs="Arial"/>
                <w:sz w:val="20"/>
                <w:szCs w:val="20"/>
              </w:rPr>
              <w:t xml:space="preserve"> Luna Amaya, 2020) “Los sectores productivos deben orientarse hacia enfoques que permitan innovaciones, fruto del conocimiento y la tecnología, y que garanticen el compromiso con la calidad y la rapidez de respuesta especialmente” (p,2), teniendo en cuenta los efectos de esta pandemia, las empresas tendrán que replantear su modelo de negocio con un enfoque hacia la innovación, apoyándose en las nuevas tecnologías. </w:t>
            </w:r>
          </w:p>
          <w:p w:rsidR="006C51E0" w:rsidRPr="0080598B" w:rsidRDefault="006C51E0" w:rsidP="00477541">
            <w:pPr>
              <w:jc w:val="both"/>
              <w:rPr>
                <w:rFonts w:ascii="Arial" w:hAnsi="Arial" w:cs="Arial"/>
                <w:sz w:val="20"/>
                <w:szCs w:val="20"/>
              </w:rPr>
            </w:pPr>
          </w:p>
          <w:p w:rsidR="006C51E0" w:rsidRPr="0080598B" w:rsidRDefault="00E23315" w:rsidP="00477541">
            <w:pPr>
              <w:jc w:val="both"/>
              <w:rPr>
                <w:rFonts w:ascii="Arial" w:hAnsi="Arial" w:cs="Arial"/>
                <w:sz w:val="20"/>
                <w:szCs w:val="20"/>
              </w:rPr>
            </w:pPr>
            <w:r w:rsidRPr="0080598B">
              <w:rPr>
                <w:rFonts w:ascii="Arial" w:hAnsi="Arial" w:cs="Arial"/>
                <w:sz w:val="20"/>
                <w:szCs w:val="20"/>
              </w:rPr>
              <w:t xml:space="preserve">La industria manufacturera debe desarrollar actividades que permitan la evolución de este sector, tecnificando la mano de obra para hacerla más calificada, haciendo más ágil la elaboración de productos a más bajos costos sin sacrificar la calidad de los mismos, todo esto con el apoyo del gobierno encaminado a adoptar medidas impositivas que faciliten y fomenten las exportaciones, lo que permitirá a mediano plazo un resurgimiento de este sector. </w:t>
            </w:r>
          </w:p>
          <w:p w:rsidR="006C51E0" w:rsidRPr="0080598B" w:rsidRDefault="006C51E0" w:rsidP="00477541">
            <w:pPr>
              <w:jc w:val="both"/>
              <w:rPr>
                <w:rFonts w:ascii="Arial" w:hAnsi="Arial" w:cs="Arial"/>
                <w:sz w:val="20"/>
                <w:szCs w:val="20"/>
              </w:rPr>
            </w:pPr>
          </w:p>
          <w:p w:rsidR="00D2518E" w:rsidRPr="0080598B" w:rsidRDefault="00E23315" w:rsidP="00477541">
            <w:pPr>
              <w:jc w:val="both"/>
              <w:rPr>
                <w:rFonts w:ascii="Arial" w:hAnsi="Arial" w:cs="Arial"/>
                <w:sz w:val="20"/>
                <w:szCs w:val="20"/>
              </w:rPr>
            </w:pPr>
            <w:r w:rsidRPr="0080598B">
              <w:rPr>
                <w:rFonts w:ascii="Arial" w:hAnsi="Arial" w:cs="Arial"/>
                <w:sz w:val="20"/>
                <w:szCs w:val="20"/>
              </w:rPr>
              <w:t>Los mercados actuales exigen adaptación de los modelos de producción, migrar de elaboración a gran escala, a la elaboración de pequeños lotes o incluso unidades personalizadas, esto hoy día es posible basado en tecnologías que permiten manufactura flexible y costo efectiva. Ciertos modelos de producción han crecido aprovechando las nuevas oportunidades, como la manufactura local distribuida a menor escala, fabricación integrada superficialmente y enfoque de procesos de manufactura simplificados en operaciones más grandes. Estos modelos reducen costos a la vez que orientan a la redefinición de la manera como se hacen las cosas, con la intención de aportar más valor percibido al producto final. El enfoque a nichos de mercado de menor tamaño y su correspondiente menor escala, facilita que los nuevos manufactureros se posicionen, consoliden nuevos clientes y penetren mercados cubiertos hasta ahora por los fabricantes a gran escala, que incluso pueden ser parte de su propio negocio</w:t>
            </w:r>
            <w:r w:rsidR="00EB1C87" w:rsidRPr="0080598B">
              <w:rPr>
                <w:rFonts w:ascii="Arial" w:hAnsi="Arial" w:cs="Arial"/>
                <w:sz w:val="20"/>
                <w:szCs w:val="20"/>
              </w:rPr>
              <w:t>…</w:t>
            </w:r>
          </w:p>
          <w:p w:rsidR="00EB1C87" w:rsidRPr="0080598B" w:rsidRDefault="00B71DBB" w:rsidP="00477541">
            <w:pPr>
              <w:jc w:val="both"/>
              <w:rPr>
                <w:rFonts w:ascii="Arial" w:hAnsi="Arial" w:cs="Arial"/>
                <w:sz w:val="20"/>
                <w:szCs w:val="20"/>
                <w:lang w:val="es-ES"/>
              </w:rPr>
            </w:pPr>
            <w:hyperlink r:id="rId14" w:history="1">
              <w:r w:rsidR="00EB1C87" w:rsidRPr="0080598B">
                <w:rPr>
                  <w:rStyle w:val="Hipervnculo"/>
                  <w:rFonts w:ascii="Arial" w:hAnsi="Arial" w:cs="Arial"/>
                  <w:sz w:val="20"/>
                  <w:szCs w:val="20"/>
                </w:rPr>
                <w:t>https://repository.ucatolica.edu.co/bitstream/10983/26747/1/Impacto%20de%20la%20Covid-19%20en%20el%20sector%20manufactura%20en%20Colombia%20%281%29.pdf</w:t>
              </w:r>
            </w:hyperlink>
            <w:r w:rsidR="00EB1C87" w:rsidRPr="0080598B">
              <w:rPr>
                <w:rFonts w:ascii="Arial" w:hAnsi="Arial" w:cs="Arial"/>
                <w:sz w:val="20"/>
                <w:szCs w:val="20"/>
              </w:rPr>
              <w:t xml:space="preserve"> </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bCs/>
                <w:color w:val="0A0A0A"/>
                <w:sz w:val="20"/>
                <w:szCs w:val="20"/>
                <w:lang w:val="es-ES"/>
              </w:rPr>
              <w:t>Múltiples factores incrementaron la proyección de la inflación en el horizonte de pronóstico y la mantuvieron por encima de la meta. Entre ellos, una inflación en diciembre (5,62 %) superior a la estimada, una indexación de varios grupos del índice de precios al consumidor (IPC) a una mayor inflación, un alto incremento real del salario mínimo legal (SML), una persistencia mayor de algunos choques alcistas de oferta interna y externa, y unas presiones provenientes de la tasa de cambio más acentuadas. </w:t>
            </w:r>
            <w:r w:rsidRPr="0080598B">
              <w:rPr>
                <w:rFonts w:ascii="Arial" w:hAnsi="Arial" w:cs="Arial"/>
                <w:color w:val="0A0A0A"/>
                <w:sz w:val="20"/>
                <w:szCs w:val="20"/>
                <w:lang w:val="es-ES"/>
              </w:rPr>
              <w:t xml:space="preserve">En el cuarto trimestre el IPC de alimentos, impactado por la persistencia de choques de oferta internos y externos, fue el de mayor contribución a la sorpresa inflacionaria. Los ajustes en los precios de algunos servicios públicos y en los combustibles explicaron una aceleración mayor de la estimada en el grupo de regulados. A la sorpresa en el IPC de bienes sin alimentos ni regulados (SAR) contribuyeron un impacto menor que el estimado del día sin impuesto al valor agregado (IVA) sobre los precios y una mayor persistencia de las presiones externas, incluida la depreciación del peso. En contraste, el IPC de servicios SAR registró una aceleración menor que la proyectada, en parte por la fuerte competencia en el sector de comunicaciones, y fue el único gran grupo del IPC que se ajustó por debajo de la meta. </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color w:val="0A0A0A"/>
                <w:sz w:val="20"/>
                <w:szCs w:val="20"/>
                <w:lang w:val="es-ES"/>
              </w:rPr>
              <w:t xml:space="preserve">El pronóstico de la inflación se revisó al alza debido a unos choques externos (precios, costos y depreciación) e internos (v. g.: alimentos cárnicos), los cuales han sido más fuertes y persistentes de lo estimado en el informe anterior. También, la inflación y el incremento real del SML fueron más altos de lo esperado, e impulsarían la inflación por sus efectos sobre la indexación en los precios, los costos laborales y las expectativas de inflación. Así, para finales de 2022 y 2023 la inflación llegaría al 4,3 % y 3,4 %, respectivamente, y para los mismos años la inflación básica (SAR) se situaría en el 4,5 % y 3,6 %. Estos pronósticos incorporan la reversión de algunos alivios asociados con la emergencia sanitaria, lo que contribuiría a sostener la inflación transitoriamente por encima de la meta en el horizonte de pronóstico. </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color w:val="0A0A0A"/>
                <w:sz w:val="20"/>
                <w:szCs w:val="20"/>
                <w:lang w:val="es-ES"/>
              </w:rPr>
              <w:t xml:space="preserve">Las estimaciones presentan un amplio margen de incertidumbre asociado, principalmente, a la evolución futura de los choques de oferta externos e internos, y sus efectos sobre los precios. También incide en dicha incertidumbre la mayor volatilidad en los precios y en su medición por cuenta de la extensión de la emergencia sanitaria y los alivios de impuestos aprobados en la Ley de Inversión Social (v. g.: los días sin IVA). </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color w:val="0A0A0A"/>
                <w:sz w:val="20"/>
                <w:szCs w:val="20"/>
                <w:lang w:val="es-ES"/>
              </w:rPr>
              <w:t>Adicionalmente, es incierta la magnitud de los efectos del incremento real históricamente alto del SML y de la alta inflación observada sobre las expectativas de inflación y la indexación. Finalmente, el tamaño de los excesos de capacidad productiva en la economía y la velocidad con la que estos se sigan reduciendo son otros factores de incertidumbre, en un entorno en el que la evolución de la pandemia sigue siendo un factor relevante de riesgo.</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bCs/>
                <w:color w:val="0A0A0A"/>
                <w:sz w:val="20"/>
                <w:szCs w:val="20"/>
                <w:lang w:val="es-ES"/>
              </w:rPr>
              <w:t>La proyección de crecimiento para 2022 se revisó a la baja del 4,7 % al 4,3 %. Esto considerando que un componente mayor del buen comportamiento del consumo privado sería transitorio y que la inversión sería menos dinámica por cuenta de unas condiciones financieras menos holgadas y un entorno de alta incertidumbre. </w:t>
            </w:r>
            <w:r w:rsidRPr="0080598B">
              <w:rPr>
                <w:rFonts w:ascii="Arial" w:hAnsi="Arial" w:cs="Arial"/>
                <w:color w:val="0A0A0A"/>
                <w:sz w:val="20"/>
                <w:szCs w:val="20"/>
                <w:lang w:val="es-ES"/>
              </w:rPr>
              <w:t xml:space="preserve">El crecimiento del PIB del tercer trimestre (12,9 %), similar al proyectado en octubre, y el pronóstico para el cuarto (8,7 %) reflejan una buena dinámica del consumo que se ha revisado al alza, jalonada tanto por el gasto privado como por el público; por su parte, el crecimiento de la inversión ha sido más débil de lo proyectado. En efecto, para el cuarto trimestre la información disponible sugiere que el gasto en consumo habría sido más fuerte que el estimado en octubre, por cuenta de tres meses consecutivos con días sin IVA, bajos contagios de Covid-19 e indicadores de movilidad similares a los de </w:t>
            </w:r>
            <w:proofErr w:type="spellStart"/>
            <w:r w:rsidRPr="0080598B">
              <w:rPr>
                <w:rFonts w:ascii="Arial" w:hAnsi="Arial" w:cs="Arial"/>
                <w:color w:val="0A0A0A"/>
                <w:sz w:val="20"/>
                <w:szCs w:val="20"/>
                <w:lang w:val="es-ES"/>
              </w:rPr>
              <w:t>prepandemia</w:t>
            </w:r>
            <w:proofErr w:type="spellEnd"/>
            <w:r w:rsidRPr="0080598B">
              <w:rPr>
                <w:rFonts w:ascii="Arial" w:hAnsi="Arial" w:cs="Arial"/>
                <w:color w:val="0A0A0A"/>
                <w:sz w:val="20"/>
                <w:szCs w:val="20"/>
                <w:lang w:val="es-ES"/>
              </w:rPr>
              <w:t xml:space="preserve">. </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color w:val="0A0A0A"/>
                <w:sz w:val="20"/>
                <w:szCs w:val="20"/>
                <w:lang w:val="es-ES"/>
              </w:rPr>
              <w:t xml:space="preserve">En contraste, la nueva información de lanzamientos e iniciaciones de vivienda y de importaciones de maquinaria y equipo indican que la inversión continuaría al alza, pero de forma más lenta que lo anticipado en el informe pasado. Las importaciones crecerían a una tasa alta, superior a la de las exportaciones, por lo cual el déficit comercial se ampliaría. Con todo esto, se estima que el crecimiento económico para el cuarto trimestre sería del 8,7 %, y del 9,9 % para todo 2021. </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color w:val="0A0A0A"/>
                <w:sz w:val="20"/>
                <w:szCs w:val="20"/>
                <w:lang w:val="es-ES"/>
              </w:rPr>
              <w:t xml:space="preserve">Hacia 2022 ciertos factores seguirían contribuyendo a la recuperación del producto, aunque algunos de ellos con menos fuerza que lo estimado en el informe pasado. En el contexto externo, las condiciones financieras internacionales serían menos holgadas, la demanda externa seguiría recuperándose y los términos de intercambio continuarían al alza en un entorno de mayores precios proyectados del petróleo. A los efectos positivos de estos últimos factores se sumarían los de los avances en el programa de vacunación y las menores tasas de desempleo y su impacto positivo sobre el ingreso de los hogares, pese a que este se vería afectado por el aumento de la inflación. Se supone que los factores que han favorecido recientemente los altos niveles de consumo serían, en buena medida, transitorios y se registraría un menor crecimiento del gasto en este componente en 2022. </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color w:val="0A0A0A"/>
                <w:sz w:val="20"/>
                <w:szCs w:val="20"/>
                <w:lang w:val="es-ES"/>
              </w:rPr>
              <w:t xml:space="preserve">Se espera que la formación bruta de capital se siga recuperando y se acerque a sus niveles </w:t>
            </w:r>
            <w:proofErr w:type="spellStart"/>
            <w:r w:rsidRPr="0080598B">
              <w:rPr>
                <w:rFonts w:ascii="Arial" w:hAnsi="Arial" w:cs="Arial"/>
                <w:color w:val="0A0A0A"/>
                <w:sz w:val="20"/>
                <w:szCs w:val="20"/>
                <w:lang w:val="es-ES"/>
              </w:rPr>
              <w:t>prepandemia</w:t>
            </w:r>
            <w:proofErr w:type="spellEnd"/>
            <w:r w:rsidRPr="0080598B">
              <w:rPr>
                <w:rFonts w:ascii="Arial" w:hAnsi="Arial" w:cs="Arial"/>
                <w:color w:val="0A0A0A"/>
                <w:sz w:val="20"/>
                <w:szCs w:val="20"/>
                <w:lang w:val="es-ES"/>
              </w:rPr>
              <w:t>, pero a un ritmo más lento que en el informe pasado, debido a los menores niveles observados en este componente y los efectos de la incertidumbre política y fiscal. Adicionalmente, la tasa de interés de política sería menos expansiva, conforme se normalice la política monetaria. Con esto, se estima que el crecimiento para 2022 se desacelere al 4,3 % (antes 4,7 %), que en 2023 (3,1 %) continúe convergiendo a tasas más cercanas a su crecimiento potencial, y que los excesos de capacidad productiva se cierren a una velocidad similar a la prevista en el informe anterior.</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color w:val="0A0A0A"/>
                <w:sz w:val="20"/>
                <w:szCs w:val="20"/>
                <w:lang w:val="es-ES"/>
              </w:rPr>
              <w:t>El déficit comercial se reduciría en el horizonte de pronóstico más de lo proyectado en el informe anterior, debido a una mayor dinámica esperada de las exportaciones y a una moderación en las importaciones. El pronóstico de crecimiento para 2022 tiene en cuenta una base baja de comparación en el primer semestre de 2021. No obstante, sobre este pronóstico de actividad económica persisten riesgos importantes a la baja. En primer lugar, no se suponen efectos significativos sobre la actividad económica de posibles nuevas olas de contagio del Covid-19. En segundo lugar, los altos niveles del consumo privado, que ya superan por amplio margen los registrados antes de la pandemia, podrían tener un comportamiento menos dinámico que el estimado. A esto se suma una normalización de la política monetaria en los Estados Unidos que podría ser más rápida que la prevista en este informe, con efectos negativos sobre el costo de financiamiento externo. Adicionalmente, la elevada incertidumbre sobre la duración de los choques de oferta y sobre el contexto macroeconómico y político podría afectar negativamente la recuperación de la inversión.</w:t>
            </w:r>
          </w:p>
          <w:p w:rsidR="00EB1C87" w:rsidRPr="0080598B" w:rsidRDefault="00EB1C87" w:rsidP="00EB1C87">
            <w:pPr>
              <w:shd w:val="clear" w:color="auto" w:fill="FFFFFF"/>
              <w:spacing w:before="100" w:beforeAutospacing="1" w:after="100" w:afterAutospacing="1"/>
              <w:jc w:val="both"/>
              <w:rPr>
                <w:rFonts w:ascii="Arial" w:hAnsi="Arial" w:cs="Arial"/>
                <w:bCs/>
                <w:color w:val="0A0A0A"/>
                <w:sz w:val="20"/>
                <w:szCs w:val="20"/>
                <w:lang w:val="es-ES"/>
              </w:rPr>
            </w:pPr>
            <w:r w:rsidRPr="0080598B">
              <w:rPr>
                <w:rFonts w:ascii="Arial" w:hAnsi="Arial" w:cs="Arial"/>
                <w:bCs/>
                <w:color w:val="0A0A0A"/>
                <w:sz w:val="20"/>
                <w:szCs w:val="20"/>
                <w:lang w:val="es-ES"/>
              </w:rPr>
              <w:t>La demanda externa relevante para el país continuaría recuperándose en un entorno de mayores presiones sobre la inflación global, de altos precios del petróleo y de condiciones financieras internacionales menos favorables que las estimadas en octubre.</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color w:val="0A0A0A"/>
                <w:sz w:val="20"/>
                <w:szCs w:val="20"/>
                <w:lang w:val="es-ES"/>
              </w:rPr>
              <w:t xml:space="preserve">En 2021 el repunte de la actividad económica de los socios comerciales se dio en medio de la reapertura de los países y una amplia liquidez internacional, aunque el crecimiento se ha visto restringido por las disrupciones en las cadenas globales de suministro y rebrotes del virus. Con esto, se revisó el supuesto de crecimiento de los principales socios comerciales del país del 6,3 % al 6,9 % para 2021, y del 3,4 % al 3,3 % para 2022, y se estima que para 2023 se sitúe en el 2,6 %. </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color w:val="0A0A0A"/>
                <w:sz w:val="20"/>
                <w:szCs w:val="20"/>
                <w:lang w:val="es-ES"/>
              </w:rPr>
              <w:t xml:space="preserve">En 2021 los términos de intercambio del país se han incrementado frente al año anterior debido, principalmente, a los aumentos en las cotizaciones del petróleo, café y carbón, a pesar de las alzas en los precios de los bienes y servicios que compra el país. Hacia adelante se revisó al alza la senda esperada para el precio del petróleo, debido, en parte, a restricciones de oferta y rezagos en la inversión en el sector, los cuales estarían superando las menores perspectivas de crecimiento en algunas de las principales economías. Los altos fletes, los mayores costos de las materias primas y las disrupciones en las cadenas de suministro continúan afectando la producción de bienes y generando incrementos en los costos en el mundo. Esto, junto con la recuperación de la demanda mundial, ha presionado al alza la inflación externa. En este entorno varios países emergentes continuaron normalizando su política monetaria. </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color w:val="0A0A0A"/>
                <w:sz w:val="20"/>
                <w:szCs w:val="20"/>
                <w:lang w:val="es-ES"/>
              </w:rPr>
              <w:t xml:space="preserve">En los Estados Unidos, la Reserva Federal anticipó el fin de la compra de activos, al tiempo que el aumento de la inflación en diciembre (7 %) volvió a sorprender y el promedio del mercado ha venido revisando al alza sus pronósticos de inflación para 2022. Con esto se supone que el primer incremento de la tasa de política monetaria en ese país se anuncie durante el primer trimestre de 2022 y que haya un incremento trimestral durante el resto del año. Por su parte, las primas de riesgo soberano de Colombia se han incrementado y en este informe se supone una senda más alta para esta variable en el horizonte de pronóstico, en niveles que superan el promedio de los últimos quince años, debido, en parte, a los efectos de una política monetaria menos expansiva en los Estados Unidos y a la acumulación de desbalances macroeconómicos del país. </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color w:val="0A0A0A"/>
                <w:sz w:val="20"/>
                <w:szCs w:val="20"/>
                <w:lang w:val="es-ES"/>
              </w:rPr>
              <w:t>El aumento del costo de financiamiento externo para Colombia podría ser mayor si las presiones alcistas sobre la inflación en los Estados Unidos persisten y resultan en una normalización de la política monetaria más rápida de lo considerado en este informe. Como se detalla en la sección 2.3, la incertidumbre sobre el contexto externo sigue siendo inusualmente elevada debido a las preocupaciones recientes por los impactos de las nuevas variantes del Covid-19, la persistencia de las disrupciones en las cadenas globales de suministro, los impactos de la crisis energética en algunos países, las crecientes tensiones geopolíticas y una mayor desaceleración de China, entre otros factores.</w:t>
            </w:r>
          </w:p>
          <w:p w:rsidR="00EB1C87" w:rsidRPr="0080598B" w:rsidRDefault="00EB1C87" w:rsidP="00EB1C87">
            <w:pPr>
              <w:shd w:val="clear" w:color="auto" w:fill="FFFFFF"/>
              <w:spacing w:before="100" w:beforeAutospacing="1" w:after="100" w:afterAutospacing="1"/>
              <w:jc w:val="both"/>
              <w:rPr>
                <w:rFonts w:ascii="Arial" w:hAnsi="Arial" w:cs="Arial"/>
                <w:color w:val="0A0A0A"/>
                <w:sz w:val="20"/>
                <w:szCs w:val="20"/>
                <w:lang w:val="es-ES"/>
              </w:rPr>
            </w:pPr>
            <w:r w:rsidRPr="0080598B">
              <w:rPr>
                <w:rFonts w:ascii="Arial" w:hAnsi="Arial" w:cs="Arial"/>
                <w:bCs/>
                <w:color w:val="0A0A0A"/>
                <w:sz w:val="20"/>
                <w:szCs w:val="20"/>
                <w:lang w:val="es-ES"/>
              </w:rPr>
              <w:t>El cambio del escenario macroeconómico hacia uno de mayor inflación y de riesgo sobre el anclaje de sus expectativas, implica que el espacio para mantener el estímulo monetario continúe reduciéndose. </w:t>
            </w:r>
            <w:r w:rsidRPr="0080598B">
              <w:rPr>
                <w:rFonts w:ascii="Arial" w:hAnsi="Arial" w:cs="Arial"/>
                <w:color w:val="0A0A0A"/>
                <w:sz w:val="20"/>
                <w:szCs w:val="20"/>
                <w:lang w:val="es-ES"/>
              </w:rPr>
              <w:t xml:space="preserve"> Esto ha venido acompañado de la materialización de algunos riesgos al alza sobre la inflación, de unas expectativas de inflación a mediano plazo que han aumentado y se sitúan por encima del 3 %, y de una postura de la política monetaria que se mantiene expansiva. Las fuertes presiones inflacionarias a nivel global y la sorpresa al alza del IPC de diciembre apuntan a unos efectos más persistentes de los choques de oferta. La inflación básica continúa por debajo del 3 %, pero con tendencia creciente. En el horizonte de política los pronósticos de la inflación total y básica aumentaron y se sitúan por encima de la meta hasta finales de 2023, al tiempo que la dinámica prevista de la demanda interna sería compatible con la presencia de bajos excesos de capacidad productiva de la economía. La acumulación de desbalances macroeconómicos del país y la mayor probabilidad de una normalización anticipada de la política monetaria en los Estados Unidos estarían presionando al alza la percepción de riesgo soberano de forma más persistente, con implicaciones sobre la tasa de cambio y la tasa de interés real neutral. A esto se suma la permanencia de las disrupciones de las cadenas internacionales de suministro, el histórico aumento real del SML y la indexación de varias canastas del IPC a inflaciones más altas, hechos que podrían afectar las expectativas de aumentos de precios y alejar la inflación de la meta de forma más persistente. Este conjunto de factores indica que el espacio para mantener el estímulo monetario continúa reduciéndose, en un contexto en el que la política monetaria sigue siendo expansiva.</w:t>
            </w:r>
            <w:r w:rsidRPr="0080598B">
              <w:rPr>
                <w:rFonts w:ascii="Arial" w:hAnsi="Arial" w:cs="Arial"/>
                <w:sz w:val="20"/>
                <w:szCs w:val="20"/>
              </w:rPr>
              <w:t xml:space="preserve"> </w:t>
            </w:r>
            <w:hyperlink r:id="rId15" w:history="1">
              <w:r w:rsidRPr="0080598B">
                <w:rPr>
                  <w:rStyle w:val="Hipervnculo"/>
                  <w:rFonts w:ascii="Arial" w:hAnsi="Arial" w:cs="Arial"/>
                  <w:sz w:val="20"/>
                  <w:szCs w:val="20"/>
                  <w:lang w:val="es-ES"/>
                </w:rPr>
                <w:t>https://www.banrep.gov.co/es/informe-politica-monetaria-enero-2022</w:t>
              </w:r>
            </w:hyperlink>
          </w:p>
          <w:p w:rsidR="00477541" w:rsidRPr="0080598B" w:rsidRDefault="00477541" w:rsidP="00477541">
            <w:pPr>
              <w:jc w:val="both"/>
              <w:rPr>
                <w:rFonts w:ascii="Arial" w:hAnsi="Arial" w:cs="Arial"/>
                <w:sz w:val="20"/>
                <w:szCs w:val="20"/>
              </w:rPr>
            </w:pPr>
          </w:p>
        </w:tc>
      </w:tr>
      <w:tr w:rsidR="002623DF" w:rsidRPr="0080598B" w:rsidTr="00D015EE">
        <w:tc>
          <w:tcPr>
            <w:tcW w:w="9657" w:type="dxa"/>
            <w:gridSpan w:val="6"/>
          </w:tcPr>
          <w:p w:rsidR="002623DF" w:rsidRPr="0080598B" w:rsidRDefault="002623DF" w:rsidP="00D015EE">
            <w:pPr>
              <w:autoSpaceDE w:val="0"/>
              <w:autoSpaceDN w:val="0"/>
              <w:adjustRightInd w:val="0"/>
              <w:jc w:val="both"/>
              <w:rPr>
                <w:rFonts w:ascii="Arial" w:hAnsi="Arial" w:cs="Arial"/>
                <w:sz w:val="20"/>
                <w:szCs w:val="20"/>
              </w:rPr>
            </w:pPr>
            <w:r w:rsidRPr="0080598B">
              <w:rPr>
                <w:rFonts w:ascii="Arial" w:hAnsi="Arial" w:cs="Arial"/>
                <w:sz w:val="20"/>
                <w:szCs w:val="20"/>
              </w:rPr>
              <w:t>11.FORMA DE PAGO:</w:t>
            </w:r>
          </w:p>
          <w:p w:rsidR="002623DF" w:rsidRPr="0080598B" w:rsidRDefault="002623DF" w:rsidP="00D015EE">
            <w:pPr>
              <w:autoSpaceDE w:val="0"/>
              <w:autoSpaceDN w:val="0"/>
              <w:adjustRightInd w:val="0"/>
              <w:jc w:val="both"/>
              <w:rPr>
                <w:rFonts w:ascii="Arial" w:hAnsi="Arial" w:cs="Arial"/>
                <w:sz w:val="20"/>
                <w:szCs w:val="20"/>
              </w:rPr>
            </w:pPr>
          </w:p>
          <w:p w:rsidR="002623DF" w:rsidRPr="0080598B" w:rsidRDefault="002623DF" w:rsidP="00D015EE">
            <w:pPr>
              <w:autoSpaceDE w:val="0"/>
              <w:autoSpaceDN w:val="0"/>
              <w:adjustRightInd w:val="0"/>
              <w:jc w:val="both"/>
              <w:rPr>
                <w:rFonts w:ascii="Arial" w:hAnsi="Arial" w:cs="Arial"/>
                <w:sz w:val="20"/>
                <w:szCs w:val="20"/>
              </w:rPr>
            </w:pPr>
            <w:r w:rsidRPr="0080598B">
              <w:rPr>
                <w:rFonts w:ascii="Arial" w:hAnsi="Arial" w:cs="Arial"/>
                <w:sz w:val="20"/>
                <w:szCs w:val="20"/>
              </w:rPr>
              <w:t xml:space="preserve">La Personería cancelará al CONTRATISTA en un solo pago, o de manera mensual o proporcional, de acuerdo a la ejecución del contrato, previo recibo a satisfacción mediante </w:t>
            </w:r>
            <w:r w:rsidRPr="0080598B">
              <w:rPr>
                <w:rFonts w:ascii="Arial" w:hAnsi="Arial" w:cs="Arial"/>
                <w:sz w:val="20"/>
                <w:szCs w:val="20"/>
                <w:lang w:val="es-ES_tradnl"/>
              </w:rPr>
              <w:t xml:space="preserve">acta de supervisión donde el supervisor asignado certifique el </w:t>
            </w:r>
            <w:r w:rsidRPr="0080598B">
              <w:rPr>
                <w:rFonts w:ascii="Arial" w:hAnsi="Arial" w:cs="Arial"/>
                <w:sz w:val="20"/>
                <w:szCs w:val="20"/>
                <w:lang w:val="es-MX"/>
              </w:rPr>
              <w:t>cumplimiento del objeto del contrato a entera satisfacción</w:t>
            </w:r>
            <w:r w:rsidRPr="0080598B">
              <w:rPr>
                <w:rFonts w:ascii="Arial" w:hAnsi="Arial" w:cs="Arial"/>
                <w:sz w:val="20"/>
                <w:szCs w:val="20"/>
              </w:rPr>
              <w:t>, presentación de la factura, cuenta de cobro o documento equivalente, adjuntando el comprobante que acredite que se encuentra al día en el pago de aportes al Sistema de Seguridad Social Integral.</w:t>
            </w:r>
          </w:p>
          <w:p w:rsidR="002623DF" w:rsidRPr="0080598B" w:rsidRDefault="002623DF" w:rsidP="00D015EE">
            <w:pPr>
              <w:autoSpaceDE w:val="0"/>
              <w:autoSpaceDN w:val="0"/>
              <w:adjustRightInd w:val="0"/>
              <w:jc w:val="both"/>
              <w:rPr>
                <w:rFonts w:ascii="Arial" w:hAnsi="Arial" w:cs="Arial"/>
                <w:sz w:val="20"/>
                <w:szCs w:val="20"/>
              </w:rPr>
            </w:pPr>
          </w:p>
        </w:tc>
      </w:tr>
      <w:tr w:rsidR="002623DF" w:rsidRPr="0080598B" w:rsidTr="00D015EE">
        <w:tc>
          <w:tcPr>
            <w:tcW w:w="9657" w:type="dxa"/>
            <w:gridSpan w:val="6"/>
          </w:tcPr>
          <w:p w:rsidR="002623DF" w:rsidRPr="0080598B" w:rsidRDefault="002623DF" w:rsidP="00D015EE">
            <w:pPr>
              <w:autoSpaceDE w:val="0"/>
              <w:autoSpaceDN w:val="0"/>
              <w:adjustRightInd w:val="0"/>
              <w:jc w:val="both"/>
              <w:rPr>
                <w:rFonts w:ascii="Arial" w:hAnsi="Arial" w:cs="Arial"/>
                <w:sz w:val="20"/>
                <w:szCs w:val="20"/>
              </w:rPr>
            </w:pPr>
            <w:r w:rsidRPr="0080598B">
              <w:rPr>
                <w:rFonts w:ascii="Arial" w:hAnsi="Arial" w:cs="Arial"/>
                <w:sz w:val="20"/>
                <w:szCs w:val="20"/>
              </w:rPr>
              <w:t>12.</w:t>
            </w:r>
            <w:r w:rsidRPr="0080598B">
              <w:rPr>
                <w:rFonts w:ascii="Arial" w:hAnsi="Arial" w:cs="Arial"/>
                <w:sz w:val="20"/>
                <w:szCs w:val="20"/>
              </w:rPr>
              <w:tab/>
              <w:t>TIPIFICACIÓN, ESTIMACIÓN Y ASIGNACIÓN DE LOS RIESGOS PREVISIBLES QUE PUEDAN AFECTAR EL EQUILIBRIO ECONÓMICO DEL CONTRATO.</w:t>
            </w:r>
          </w:p>
          <w:p w:rsidR="002623DF" w:rsidRPr="0080598B" w:rsidRDefault="002623DF" w:rsidP="00D015EE">
            <w:pPr>
              <w:autoSpaceDE w:val="0"/>
              <w:autoSpaceDN w:val="0"/>
              <w:adjustRightInd w:val="0"/>
              <w:jc w:val="both"/>
              <w:rPr>
                <w:rFonts w:ascii="Arial" w:hAnsi="Arial" w:cs="Arial"/>
                <w:sz w:val="20"/>
                <w:szCs w:val="20"/>
              </w:rPr>
            </w:pPr>
          </w:p>
          <w:p w:rsidR="002623DF" w:rsidRPr="0080598B" w:rsidRDefault="002623DF" w:rsidP="00D015EE">
            <w:pPr>
              <w:pStyle w:val="Default"/>
              <w:jc w:val="both"/>
              <w:rPr>
                <w:color w:val="auto"/>
                <w:sz w:val="20"/>
                <w:szCs w:val="20"/>
              </w:rPr>
            </w:pPr>
            <w:r w:rsidRPr="0080598B">
              <w:rPr>
                <w:color w:val="auto"/>
                <w:sz w:val="20"/>
                <w:szCs w:val="20"/>
              </w:rPr>
              <w:t xml:space="preserve">La política para el manejo del riesgo contractual del Estado para los diferentes procesos, consagra como principio rector, que estos corresponden a las Entidades Estatales, las cuales deben asumir sus propios riesgos por su carácter público y el objeto social para el que fueron creadas o autorizadas y, a los contratistas, aquellos riesgos determinados por el objeto que persiguen en el cumplimiento de su actividad; siendo entonces la asignación adecuada una herramienta que minimiza el costo de la mitigación del riesgo, logrando asignar cada riesgo a la parte que mejor lo controla: </w:t>
            </w:r>
          </w:p>
          <w:p w:rsidR="002623DF" w:rsidRPr="0080598B" w:rsidRDefault="002623DF" w:rsidP="00D015EE">
            <w:pPr>
              <w:pStyle w:val="Default"/>
              <w:jc w:val="both"/>
              <w:rPr>
                <w:color w:val="auto"/>
                <w:sz w:val="20"/>
                <w:szCs w:val="20"/>
              </w:rPr>
            </w:pPr>
          </w:p>
          <w:p w:rsidR="002623DF" w:rsidRPr="0080598B" w:rsidRDefault="002623DF" w:rsidP="00D015EE">
            <w:pPr>
              <w:pStyle w:val="Default"/>
              <w:jc w:val="both"/>
              <w:rPr>
                <w:color w:val="auto"/>
                <w:sz w:val="20"/>
                <w:szCs w:val="20"/>
              </w:rPr>
            </w:pPr>
            <w:r w:rsidRPr="0080598B">
              <w:rPr>
                <w:color w:val="auto"/>
                <w:sz w:val="20"/>
                <w:szCs w:val="20"/>
              </w:rPr>
              <w:t xml:space="preserve">Riesgo Previsible: Son los posibles hechos o circunstancias que por la naturaleza de la actividad a ejecutar es factible su ocurrencia. </w:t>
            </w:r>
          </w:p>
          <w:p w:rsidR="002623DF" w:rsidRPr="0080598B" w:rsidRDefault="002623DF" w:rsidP="00D015EE">
            <w:pPr>
              <w:pStyle w:val="Default"/>
              <w:jc w:val="both"/>
              <w:rPr>
                <w:color w:val="auto"/>
                <w:sz w:val="20"/>
                <w:szCs w:val="20"/>
              </w:rPr>
            </w:pPr>
          </w:p>
          <w:p w:rsidR="002623DF" w:rsidRPr="0080598B" w:rsidRDefault="002623DF" w:rsidP="00D015EE">
            <w:pPr>
              <w:pStyle w:val="Default"/>
              <w:jc w:val="both"/>
              <w:rPr>
                <w:color w:val="auto"/>
                <w:sz w:val="20"/>
                <w:szCs w:val="20"/>
              </w:rPr>
            </w:pPr>
            <w:r w:rsidRPr="0080598B">
              <w:rPr>
                <w:color w:val="auto"/>
                <w:sz w:val="20"/>
                <w:szCs w:val="20"/>
              </w:rPr>
              <w:t xml:space="preserve">Riesgo Imprevisible: Son aquellos hechos o circunstancias donde no es factible su previsión, es decir el acontecimiento de su ocurrencia, tales como desastres naturales, actos terroristas, guerra o eventos que alteren el orden público. </w:t>
            </w:r>
          </w:p>
          <w:p w:rsidR="002623DF" w:rsidRPr="0080598B" w:rsidRDefault="002623DF" w:rsidP="00D015EE">
            <w:pPr>
              <w:autoSpaceDE w:val="0"/>
              <w:autoSpaceDN w:val="0"/>
              <w:adjustRightInd w:val="0"/>
              <w:jc w:val="both"/>
              <w:rPr>
                <w:rFonts w:ascii="Arial" w:hAnsi="Arial" w:cs="Arial"/>
                <w:sz w:val="20"/>
                <w:szCs w:val="20"/>
                <w:lang w:val="es-ES"/>
              </w:rPr>
            </w:pPr>
          </w:p>
          <w:p w:rsidR="002623DF" w:rsidRPr="0080598B" w:rsidRDefault="002623DF" w:rsidP="00D015EE">
            <w:pPr>
              <w:pStyle w:val="Default"/>
              <w:jc w:val="both"/>
              <w:rPr>
                <w:color w:val="auto"/>
                <w:sz w:val="20"/>
                <w:szCs w:val="20"/>
              </w:rPr>
            </w:pPr>
            <w:r w:rsidRPr="0080598B">
              <w:rPr>
                <w:color w:val="auto"/>
                <w:sz w:val="20"/>
                <w:szCs w:val="20"/>
              </w:rPr>
              <w:t>Se anexa tabla de tipificación, estimación y asignación de los riesgos previsibles y la cual hace parte íntegra del presente estudio.</w:t>
            </w:r>
          </w:p>
          <w:p w:rsidR="002623DF" w:rsidRPr="0080598B" w:rsidRDefault="002623DF" w:rsidP="00D015EE">
            <w:pPr>
              <w:pStyle w:val="Default"/>
              <w:jc w:val="both"/>
              <w:rPr>
                <w:color w:val="auto"/>
                <w:sz w:val="20"/>
                <w:szCs w:val="20"/>
              </w:rPr>
            </w:pPr>
          </w:p>
          <w:tbl>
            <w:tblPr>
              <w:tblW w:w="9104"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1"/>
              <w:gridCol w:w="641"/>
              <w:gridCol w:w="641"/>
              <w:gridCol w:w="642"/>
              <w:gridCol w:w="1926"/>
              <w:gridCol w:w="944"/>
              <w:gridCol w:w="828"/>
              <w:gridCol w:w="659"/>
              <w:gridCol w:w="816"/>
              <w:gridCol w:w="1366"/>
            </w:tblGrid>
            <w:tr w:rsidR="002623DF" w:rsidRPr="0080598B" w:rsidTr="00D015EE">
              <w:trPr>
                <w:cantSplit/>
                <w:trHeight w:val="1558"/>
              </w:trPr>
              <w:tc>
                <w:tcPr>
                  <w:tcW w:w="641"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CLASE</w:t>
                  </w:r>
                </w:p>
              </w:tc>
              <w:tc>
                <w:tcPr>
                  <w:tcW w:w="641"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FUENTE</w:t>
                  </w:r>
                </w:p>
              </w:tc>
              <w:tc>
                <w:tcPr>
                  <w:tcW w:w="641"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ETAPA</w:t>
                  </w:r>
                </w:p>
              </w:tc>
              <w:tc>
                <w:tcPr>
                  <w:tcW w:w="642"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TIPO</w:t>
                  </w:r>
                </w:p>
              </w:tc>
              <w:tc>
                <w:tcPr>
                  <w:tcW w:w="1926"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DESCRIPCION</w:t>
                  </w:r>
                </w:p>
              </w:tc>
              <w:tc>
                <w:tcPr>
                  <w:tcW w:w="944"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PROBABILIDAD</w:t>
                  </w:r>
                </w:p>
              </w:tc>
              <w:tc>
                <w:tcPr>
                  <w:tcW w:w="828"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IMPACTO</w:t>
                  </w:r>
                </w:p>
              </w:tc>
              <w:tc>
                <w:tcPr>
                  <w:tcW w:w="659"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VALORACION</w:t>
                  </w:r>
                </w:p>
              </w:tc>
              <w:tc>
                <w:tcPr>
                  <w:tcW w:w="816"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CATEGORIA DEL RIESGO</w:t>
                  </w:r>
                </w:p>
              </w:tc>
              <w:tc>
                <w:tcPr>
                  <w:tcW w:w="1366"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ASIGANACION</w:t>
                  </w:r>
                </w:p>
              </w:tc>
            </w:tr>
            <w:tr w:rsidR="002623DF" w:rsidRPr="0080598B" w:rsidTr="00D015EE">
              <w:trPr>
                <w:trHeight w:val="1286"/>
              </w:trPr>
              <w:tc>
                <w:tcPr>
                  <w:tcW w:w="641"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Específico</w:t>
                  </w:r>
                </w:p>
              </w:tc>
              <w:tc>
                <w:tcPr>
                  <w:tcW w:w="641"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Interno</w:t>
                  </w:r>
                </w:p>
              </w:tc>
              <w:tc>
                <w:tcPr>
                  <w:tcW w:w="641"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Ejecución</w:t>
                  </w:r>
                </w:p>
              </w:tc>
              <w:tc>
                <w:tcPr>
                  <w:tcW w:w="642"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Operacional</w:t>
                  </w:r>
                </w:p>
              </w:tc>
              <w:tc>
                <w:tcPr>
                  <w:tcW w:w="1926" w:type="dxa"/>
                  <w:shd w:val="clear" w:color="auto" w:fill="auto"/>
                  <w:vAlign w:val="center"/>
                </w:tcPr>
                <w:p w:rsidR="002623DF" w:rsidRPr="0080598B" w:rsidRDefault="002623DF" w:rsidP="00D015EE">
                  <w:pPr>
                    <w:autoSpaceDE w:val="0"/>
                    <w:autoSpaceDN w:val="0"/>
                    <w:adjustRightInd w:val="0"/>
                    <w:spacing w:before="60" w:after="60" w:line="276" w:lineRule="auto"/>
                    <w:rPr>
                      <w:rFonts w:ascii="Arial" w:hAnsi="Arial" w:cs="Arial"/>
                      <w:sz w:val="20"/>
                      <w:szCs w:val="20"/>
                      <w:lang w:eastAsia="es-CO"/>
                    </w:rPr>
                  </w:pPr>
                  <w:r w:rsidRPr="0080598B">
                    <w:rPr>
                      <w:rFonts w:ascii="Arial" w:hAnsi="Arial" w:cs="Arial"/>
                      <w:sz w:val="20"/>
                      <w:szCs w:val="20"/>
                      <w:lang w:eastAsia="es-CO"/>
                    </w:rPr>
                    <w:t>Incumplimiento de las obligaciones surgidas del contrato estatal.</w:t>
                  </w:r>
                </w:p>
              </w:tc>
              <w:tc>
                <w:tcPr>
                  <w:tcW w:w="944"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Posible</w:t>
                  </w:r>
                </w:p>
              </w:tc>
              <w:tc>
                <w:tcPr>
                  <w:tcW w:w="828"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Mayor</w:t>
                  </w:r>
                </w:p>
              </w:tc>
              <w:tc>
                <w:tcPr>
                  <w:tcW w:w="659"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Alto</w:t>
                  </w:r>
                </w:p>
              </w:tc>
              <w:tc>
                <w:tcPr>
                  <w:tcW w:w="816"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Media</w:t>
                  </w:r>
                </w:p>
              </w:tc>
              <w:tc>
                <w:tcPr>
                  <w:tcW w:w="1366" w:type="dxa"/>
                  <w:shd w:val="clear" w:color="auto" w:fill="auto"/>
                  <w:vAlign w:val="center"/>
                </w:tcPr>
                <w:p w:rsidR="002623DF" w:rsidRPr="0080598B" w:rsidRDefault="002623DF" w:rsidP="00D015EE">
                  <w:pPr>
                    <w:autoSpaceDE w:val="0"/>
                    <w:autoSpaceDN w:val="0"/>
                    <w:adjustRightInd w:val="0"/>
                    <w:spacing w:before="60" w:after="60" w:line="276" w:lineRule="auto"/>
                    <w:jc w:val="center"/>
                    <w:rPr>
                      <w:rFonts w:ascii="Arial" w:hAnsi="Arial" w:cs="Arial"/>
                      <w:sz w:val="20"/>
                      <w:szCs w:val="20"/>
                      <w:lang w:eastAsia="es-CO"/>
                    </w:rPr>
                  </w:pPr>
                  <w:r w:rsidRPr="0080598B">
                    <w:rPr>
                      <w:rFonts w:ascii="Arial" w:hAnsi="Arial" w:cs="Arial"/>
                      <w:sz w:val="20"/>
                      <w:szCs w:val="20"/>
                      <w:lang w:eastAsia="es-CO"/>
                    </w:rPr>
                    <w:t>Contratista</w:t>
                  </w:r>
                </w:p>
              </w:tc>
            </w:tr>
            <w:tr w:rsidR="002623DF" w:rsidRPr="0080598B" w:rsidTr="00D015EE">
              <w:trPr>
                <w:trHeight w:val="1248"/>
              </w:trPr>
              <w:tc>
                <w:tcPr>
                  <w:tcW w:w="641"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Específico</w:t>
                  </w:r>
                </w:p>
              </w:tc>
              <w:tc>
                <w:tcPr>
                  <w:tcW w:w="641"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Interno</w:t>
                  </w:r>
                </w:p>
              </w:tc>
              <w:tc>
                <w:tcPr>
                  <w:tcW w:w="641"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Ejecución</w:t>
                  </w:r>
                </w:p>
              </w:tc>
              <w:tc>
                <w:tcPr>
                  <w:tcW w:w="642"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Operacional</w:t>
                  </w:r>
                </w:p>
              </w:tc>
              <w:tc>
                <w:tcPr>
                  <w:tcW w:w="1926" w:type="dxa"/>
                  <w:shd w:val="clear" w:color="auto" w:fill="auto"/>
                  <w:vAlign w:val="center"/>
                </w:tcPr>
                <w:p w:rsidR="002623DF" w:rsidRPr="0080598B" w:rsidRDefault="002623DF" w:rsidP="00D015EE">
                  <w:pPr>
                    <w:autoSpaceDE w:val="0"/>
                    <w:autoSpaceDN w:val="0"/>
                    <w:adjustRightInd w:val="0"/>
                    <w:spacing w:before="60" w:after="60" w:line="276" w:lineRule="auto"/>
                    <w:rPr>
                      <w:rFonts w:ascii="Arial" w:hAnsi="Arial" w:cs="Arial"/>
                      <w:sz w:val="20"/>
                      <w:szCs w:val="20"/>
                      <w:lang w:eastAsia="es-CO"/>
                    </w:rPr>
                  </w:pPr>
                  <w:r w:rsidRPr="0080598B">
                    <w:rPr>
                      <w:rFonts w:ascii="Arial" w:hAnsi="Arial" w:cs="Arial"/>
                      <w:sz w:val="20"/>
                      <w:szCs w:val="20"/>
                      <w:lang w:eastAsia="es-CO"/>
                    </w:rPr>
                    <w:t>El no pago de salarios, prestaciones sociales e indemnizaciones laborales.</w:t>
                  </w:r>
                </w:p>
              </w:tc>
              <w:tc>
                <w:tcPr>
                  <w:tcW w:w="944"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 xml:space="preserve">Bajo </w:t>
                  </w:r>
                </w:p>
              </w:tc>
              <w:tc>
                <w:tcPr>
                  <w:tcW w:w="828"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Mayor</w:t>
                  </w:r>
                </w:p>
              </w:tc>
              <w:tc>
                <w:tcPr>
                  <w:tcW w:w="659"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Alto</w:t>
                  </w:r>
                </w:p>
              </w:tc>
              <w:tc>
                <w:tcPr>
                  <w:tcW w:w="816"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Baja</w:t>
                  </w:r>
                </w:p>
              </w:tc>
              <w:tc>
                <w:tcPr>
                  <w:tcW w:w="1366" w:type="dxa"/>
                  <w:shd w:val="clear" w:color="auto" w:fill="auto"/>
                  <w:vAlign w:val="center"/>
                </w:tcPr>
                <w:p w:rsidR="002623DF" w:rsidRPr="0080598B" w:rsidRDefault="002623DF" w:rsidP="00D015EE">
                  <w:pPr>
                    <w:autoSpaceDE w:val="0"/>
                    <w:autoSpaceDN w:val="0"/>
                    <w:adjustRightInd w:val="0"/>
                    <w:spacing w:before="60" w:after="60" w:line="276" w:lineRule="auto"/>
                    <w:jc w:val="center"/>
                    <w:rPr>
                      <w:rFonts w:ascii="Arial" w:hAnsi="Arial" w:cs="Arial"/>
                      <w:sz w:val="20"/>
                      <w:szCs w:val="20"/>
                      <w:lang w:eastAsia="es-CO"/>
                    </w:rPr>
                  </w:pPr>
                  <w:r w:rsidRPr="0080598B">
                    <w:rPr>
                      <w:rFonts w:ascii="Arial" w:hAnsi="Arial" w:cs="Arial"/>
                      <w:sz w:val="20"/>
                      <w:szCs w:val="20"/>
                      <w:lang w:eastAsia="es-CO"/>
                    </w:rPr>
                    <w:t>Contratista</w:t>
                  </w:r>
                </w:p>
              </w:tc>
            </w:tr>
            <w:tr w:rsidR="002623DF" w:rsidRPr="0080598B" w:rsidTr="00D015EE">
              <w:trPr>
                <w:trHeight w:val="1230"/>
              </w:trPr>
              <w:tc>
                <w:tcPr>
                  <w:tcW w:w="641"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Específico</w:t>
                  </w:r>
                </w:p>
              </w:tc>
              <w:tc>
                <w:tcPr>
                  <w:tcW w:w="641"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Interno</w:t>
                  </w:r>
                </w:p>
              </w:tc>
              <w:tc>
                <w:tcPr>
                  <w:tcW w:w="641"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Ejecución</w:t>
                  </w:r>
                </w:p>
              </w:tc>
              <w:tc>
                <w:tcPr>
                  <w:tcW w:w="642" w:type="dxa"/>
                  <w:shd w:val="clear" w:color="auto" w:fill="auto"/>
                  <w:textDirection w:val="btLr"/>
                  <w:vAlign w:val="center"/>
                </w:tcPr>
                <w:p w:rsidR="002623DF" w:rsidRPr="0080598B" w:rsidRDefault="002623DF" w:rsidP="00D015EE">
                  <w:pPr>
                    <w:widowControl w:val="0"/>
                    <w:spacing w:before="60" w:after="60" w:line="276" w:lineRule="auto"/>
                    <w:ind w:left="113" w:right="113"/>
                    <w:jc w:val="center"/>
                    <w:rPr>
                      <w:rFonts w:ascii="Arial" w:hAnsi="Arial" w:cs="Arial"/>
                      <w:bCs/>
                      <w:sz w:val="20"/>
                      <w:szCs w:val="20"/>
                    </w:rPr>
                  </w:pPr>
                  <w:r w:rsidRPr="0080598B">
                    <w:rPr>
                      <w:rFonts w:ascii="Arial" w:hAnsi="Arial" w:cs="Arial"/>
                      <w:bCs/>
                      <w:sz w:val="20"/>
                      <w:szCs w:val="20"/>
                    </w:rPr>
                    <w:t>Regulatorio</w:t>
                  </w:r>
                </w:p>
              </w:tc>
              <w:tc>
                <w:tcPr>
                  <w:tcW w:w="1926" w:type="dxa"/>
                  <w:shd w:val="clear" w:color="auto" w:fill="auto"/>
                  <w:vAlign w:val="center"/>
                </w:tcPr>
                <w:p w:rsidR="002623DF" w:rsidRPr="0080598B" w:rsidRDefault="002623DF" w:rsidP="00D015EE">
                  <w:pPr>
                    <w:autoSpaceDE w:val="0"/>
                    <w:autoSpaceDN w:val="0"/>
                    <w:adjustRightInd w:val="0"/>
                    <w:spacing w:before="60" w:after="60" w:line="276" w:lineRule="auto"/>
                    <w:jc w:val="both"/>
                    <w:rPr>
                      <w:rFonts w:ascii="Arial" w:hAnsi="Arial" w:cs="Arial"/>
                      <w:bCs/>
                      <w:sz w:val="20"/>
                      <w:szCs w:val="20"/>
                      <w:lang w:eastAsia="es-CO"/>
                    </w:rPr>
                  </w:pPr>
                  <w:r w:rsidRPr="0080598B">
                    <w:rPr>
                      <w:rFonts w:ascii="Arial" w:hAnsi="Arial" w:cs="Arial"/>
                      <w:bCs/>
                      <w:sz w:val="20"/>
                      <w:szCs w:val="20"/>
                      <w:lang w:eastAsia="es-CO"/>
                    </w:rPr>
                    <w:t>Cambios en la normatividad vigente</w:t>
                  </w:r>
                </w:p>
              </w:tc>
              <w:tc>
                <w:tcPr>
                  <w:tcW w:w="944"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Posible</w:t>
                  </w:r>
                </w:p>
              </w:tc>
              <w:tc>
                <w:tcPr>
                  <w:tcW w:w="828"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Mayor</w:t>
                  </w:r>
                </w:p>
              </w:tc>
              <w:tc>
                <w:tcPr>
                  <w:tcW w:w="659"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Alto</w:t>
                  </w:r>
                </w:p>
              </w:tc>
              <w:tc>
                <w:tcPr>
                  <w:tcW w:w="816" w:type="dxa"/>
                  <w:shd w:val="clear" w:color="auto" w:fill="auto"/>
                  <w:vAlign w:val="center"/>
                </w:tcPr>
                <w:p w:rsidR="002623DF" w:rsidRPr="0080598B" w:rsidRDefault="002623DF" w:rsidP="00D015EE">
                  <w:pPr>
                    <w:widowControl w:val="0"/>
                    <w:spacing w:before="60" w:after="60" w:line="276" w:lineRule="auto"/>
                    <w:jc w:val="center"/>
                    <w:rPr>
                      <w:rFonts w:ascii="Arial" w:hAnsi="Arial" w:cs="Arial"/>
                      <w:bCs/>
                      <w:sz w:val="20"/>
                      <w:szCs w:val="20"/>
                    </w:rPr>
                  </w:pPr>
                  <w:r w:rsidRPr="0080598B">
                    <w:rPr>
                      <w:rFonts w:ascii="Arial" w:hAnsi="Arial" w:cs="Arial"/>
                      <w:bCs/>
                      <w:sz w:val="20"/>
                      <w:szCs w:val="20"/>
                    </w:rPr>
                    <w:t>Baja</w:t>
                  </w:r>
                </w:p>
              </w:tc>
              <w:tc>
                <w:tcPr>
                  <w:tcW w:w="1366" w:type="dxa"/>
                  <w:shd w:val="clear" w:color="auto" w:fill="auto"/>
                  <w:vAlign w:val="center"/>
                </w:tcPr>
                <w:p w:rsidR="002623DF" w:rsidRPr="0080598B" w:rsidRDefault="002623DF" w:rsidP="00D015EE">
                  <w:pPr>
                    <w:autoSpaceDE w:val="0"/>
                    <w:autoSpaceDN w:val="0"/>
                    <w:adjustRightInd w:val="0"/>
                    <w:spacing w:before="60" w:after="60" w:line="276" w:lineRule="auto"/>
                    <w:jc w:val="center"/>
                    <w:rPr>
                      <w:rFonts w:ascii="Arial" w:hAnsi="Arial" w:cs="Arial"/>
                      <w:sz w:val="20"/>
                      <w:szCs w:val="20"/>
                      <w:lang w:eastAsia="es-CO"/>
                    </w:rPr>
                  </w:pPr>
                  <w:r w:rsidRPr="0080598B">
                    <w:rPr>
                      <w:rFonts w:ascii="Arial" w:hAnsi="Arial" w:cs="Arial"/>
                      <w:sz w:val="20"/>
                      <w:szCs w:val="20"/>
                      <w:lang w:eastAsia="es-CO"/>
                    </w:rPr>
                    <w:t>Contratista y Contratante</w:t>
                  </w:r>
                </w:p>
              </w:tc>
            </w:tr>
          </w:tbl>
          <w:p w:rsidR="002623DF" w:rsidRPr="0080598B" w:rsidRDefault="002623DF" w:rsidP="00D015EE">
            <w:pPr>
              <w:autoSpaceDE w:val="0"/>
              <w:autoSpaceDN w:val="0"/>
              <w:adjustRightInd w:val="0"/>
              <w:jc w:val="both"/>
              <w:rPr>
                <w:rFonts w:ascii="Arial" w:hAnsi="Arial" w:cs="Arial"/>
                <w:sz w:val="20"/>
                <w:szCs w:val="20"/>
              </w:rPr>
            </w:pPr>
          </w:p>
        </w:tc>
      </w:tr>
      <w:tr w:rsidR="002623DF" w:rsidRPr="0080598B" w:rsidTr="00D015EE">
        <w:tc>
          <w:tcPr>
            <w:tcW w:w="9657" w:type="dxa"/>
            <w:gridSpan w:val="6"/>
          </w:tcPr>
          <w:p w:rsidR="004F761B" w:rsidRDefault="004F761B" w:rsidP="00D015EE">
            <w:pPr>
              <w:autoSpaceDE w:val="0"/>
              <w:autoSpaceDN w:val="0"/>
              <w:adjustRightInd w:val="0"/>
              <w:jc w:val="both"/>
              <w:rPr>
                <w:rFonts w:ascii="Arial" w:hAnsi="Arial" w:cs="Arial"/>
                <w:sz w:val="20"/>
                <w:szCs w:val="20"/>
              </w:rPr>
            </w:pPr>
          </w:p>
          <w:p w:rsidR="002623DF" w:rsidRPr="0080598B" w:rsidRDefault="002623DF" w:rsidP="00D015EE">
            <w:pPr>
              <w:autoSpaceDE w:val="0"/>
              <w:autoSpaceDN w:val="0"/>
              <w:adjustRightInd w:val="0"/>
              <w:jc w:val="both"/>
              <w:rPr>
                <w:rFonts w:ascii="Arial" w:hAnsi="Arial" w:cs="Arial"/>
                <w:sz w:val="20"/>
                <w:szCs w:val="20"/>
              </w:rPr>
            </w:pPr>
            <w:r w:rsidRPr="0080598B">
              <w:rPr>
                <w:rFonts w:ascii="Arial" w:hAnsi="Arial" w:cs="Arial"/>
                <w:sz w:val="20"/>
                <w:szCs w:val="20"/>
              </w:rPr>
              <w:t>13.</w:t>
            </w:r>
            <w:r w:rsidRPr="0080598B">
              <w:rPr>
                <w:rFonts w:ascii="Arial" w:hAnsi="Arial" w:cs="Arial"/>
                <w:sz w:val="20"/>
                <w:szCs w:val="20"/>
              </w:rPr>
              <w:tab/>
              <w:t xml:space="preserve">ANÁLISIS DEL RIESGO Y GARANTÍAS: </w:t>
            </w:r>
          </w:p>
          <w:p w:rsidR="002623DF" w:rsidRPr="0080598B" w:rsidRDefault="002623DF" w:rsidP="003C57F4">
            <w:pPr>
              <w:spacing w:before="100" w:beforeAutospacing="1"/>
              <w:jc w:val="both"/>
              <w:rPr>
                <w:rFonts w:ascii="Arial" w:hAnsi="Arial" w:cs="Arial"/>
                <w:sz w:val="20"/>
                <w:szCs w:val="20"/>
              </w:rPr>
            </w:pPr>
            <w:r w:rsidRPr="0080598B">
              <w:rPr>
                <w:rFonts w:ascii="Arial" w:hAnsi="Arial" w:cs="Arial"/>
                <w:sz w:val="20"/>
                <w:szCs w:val="20"/>
              </w:rPr>
              <w:t>Por la naturaleza del contrato el plazo de ejecución y el valor del mismo contrato, no se estimaron riesgos previsibles que puedan afectar el equilibrio económico del contrato. Se considera un riesgo bajo, por lo tanto, no se exigirán pólizas de garantía de acuerdo a lo establecido en el inciso 4 del Artículo 7 de la Ley 1150 de 2007 que dispone: “…Las garantías no serán obligatorias en los contratos de  impresito, en los interadministrativos, en los de seguro y en los contratos cuyo valor sea inferior al 10% de la menor cuantía a que se refiere esta ley, caso en el cual corresponderá a la entidad determinar la necesidad de exigirla, atendiendo a la naturaleza del objeto del contrato y a la forma de pago, así como en los demás que señale el reglamento…”</w:t>
            </w:r>
          </w:p>
          <w:p w:rsidR="003C57F4" w:rsidRPr="0080598B" w:rsidRDefault="003C57F4" w:rsidP="003C57F4">
            <w:pPr>
              <w:spacing w:before="100" w:beforeAutospacing="1"/>
              <w:jc w:val="both"/>
              <w:rPr>
                <w:rFonts w:ascii="Arial" w:hAnsi="Arial" w:cs="Arial"/>
                <w:sz w:val="20"/>
                <w:szCs w:val="20"/>
              </w:rPr>
            </w:pPr>
          </w:p>
        </w:tc>
      </w:tr>
      <w:tr w:rsidR="002623DF" w:rsidRPr="0080598B" w:rsidTr="00D015EE">
        <w:tc>
          <w:tcPr>
            <w:tcW w:w="9657" w:type="dxa"/>
            <w:gridSpan w:val="6"/>
          </w:tcPr>
          <w:p w:rsidR="002623DF" w:rsidRPr="0080598B" w:rsidRDefault="002623DF" w:rsidP="00D015EE">
            <w:pPr>
              <w:adjustRightInd w:val="0"/>
              <w:jc w:val="both"/>
              <w:rPr>
                <w:rFonts w:ascii="Arial" w:hAnsi="Arial" w:cs="Arial"/>
                <w:sz w:val="20"/>
                <w:szCs w:val="20"/>
              </w:rPr>
            </w:pPr>
            <w:r w:rsidRPr="0080598B">
              <w:rPr>
                <w:rFonts w:ascii="Arial" w:hAnsi="Arial" w:cs="Arial"/>
                <w:sz w:val="20"/>
                <w:szCs w:val="20"/>
              </w:rPr>
              <w:t>14.</w:t>
            </w:r>
            <w:r w:rsidRPr="0080598B">
              <w:rPr>
                <w:rFonts w:ascii="Arial" w:hAnsi="Arial" w:cs="Arial"/>
                <w:sz w:val="20"/>
                <w:szCs w:val="20"/>
              </w:rPr>
              <w:tab/>
              <w:t>LUGAR EN DONDE SE PUEDEN CONSULTAR LOS ESTUDIOS PREVIOS:</w:t>
            </w:r>
          </w:p>
          <w:p w:rsidR="002623DF" w:rsidRPr="0080598B" w:rsidRDefault="002623DF" w:rsidP="00D015EE">
            <w:pPr>
              <w:adjustRightInd w:val="0"/>
              <w:jc w:val="both"/>
              <w:rPr>
                <w:rFonts w:ascii="Arial" w:hAnsi="Arial" w:cs="Arial"/>
                <w:sz w:val="20"/>
                <w:szCs w:val="20"/>
              </w:rPr>
            </w:pPr>
          </w:p>
          <w:p w:rsidR="002623DF" w:rsidRPr="0080598B" w:rsidRDefault="002623DF" w:rsidP="00D015EE">
            <w:pPr>
              <w:adjustRightInd w:val="0"/>
              <w:jc w:val="both"/>
              <w:rPr>
                <w:rFonts w:ascii="Arial" w:hAnsi="Arial" w:cs="Arial"/>
                <w:sz w:val="20"/>
                <w:szCs w:val="20"/>
              </w:rPr>
            </w:pPr>
            <w:r w:rsidRPr="0080598B">
              <w:rPr>
                <w:rFonts w:ascii="Arial" w:hAnsi="Arial" w:cs="Arial"/>
                <w:sz w:val="20"/>
                <w:szCs w:val="20"/>
              </w:rPr>
              <w:t>Los estudios previos y demás documentos se podrán consultar en la en la Secretaría General de la Personería de Itagüí, ubicada en la carrera 51 No. 51-55 C.A.M.I, Edificio Judicial, piso 5° piso de Itagüí.</w:t>
            </w:r>
          </w:p>
          <w:p w:rsidR="002623DF" w:rsidRPr="0080598B" w:rsidRDefault="002623DF" w:rsidP="00D015EE">
            <w:pPr>
              <w:adjustRightInd w:val="0"/>
              <w:jc w:val="both"/>
              <w:rPr>
                <w:rFonts w:ascii="Arial" w:hAnsi="Arial" w:cs="Arial"/>
                <w:sz w:val="20"/>
                <w:szCs w:val="20"/>
              </w:rPr>
            </w:pPr>
          </w:p>
        </w:tc>
      </w:tr>
      <w:tr w:rsidR="002623DF" w:rsidRPr="0080598B" w:rsidTr="00D015EE">
        <w:tc>
          <w:tcPr>
            <w:tcW w:w="9657" w:type="dxa"/>
            <w:gridSpan w:val="6"/>
          </w:tcPr>
          <w:p w:rsidR="002623DF" w:rsidRPr="0080598B" w:rsidRDefault="002623DF" w:rsidP="00D015EE">
            <w:pPr>
              <w:pStyle w:val="Default"/>
              <w:jc w:val="both"/>
              <w:rPr>
                <w:color w:val="auto"/>
                <w:sz w:val="20"/>
                <w:szCs w:val="20"/>
              </w:rPr>
            </w:pPr>
            <w:r w:rsidRPr="0080598B">
              <w:rPr>
                <w:color w:val="auto"/>
                <w:sz w:val="20"/>
                <w:szCs w:val="20"/>
              </w:rPr>
              <w:t>15.    INDICACIÓN SI LA CONTRATACIÓN RESPECTIVA ESTÁ COBIJADA POR UN ACUERDO INTERNACIONAL O TRABAJO DE LIBRE COMERCIO VIGENTE PARA EL ESTADO COLOMBIANO:</w:t>
            </w:r>
          </w:p>
          <w:p w:rsidR="002623DF" w:rsidRPr="0080598B" w:rsidRDefault="002623DF" w:rsidP="00D015EE">
            <w:pPr>
              <w:pStyle w:val="Default"/>
              <w:jc w:val="both"/>
              <w:rPr>
                <w:color w:val="auto"/>
                <w:sz w:val="20"/>
                <w:szCs w:val="20"/>
              </w:rPr>
            </w:pPr>
          </w:p>
          <w:p w:rsidR="002623DF" w:rsidRPr="0080598B" w:rsidRDefault="002623DF" w:rsidP="00D015EE">
            <w:pPr>
              <w:pStyle w:val="Default"/>
              <w:jc w:val="both"/>
              <w:rPr>
                <w:sz w:val="20"/>
                <w:szCs w:val="20"/>
              </w:rPr>
            </w:pPr>
            <w:r w:rsidRPr="0080598B">
              <w:rPr>
                <w:sz w:val="20"/>
                <w:szCs w:val="20"/>
              </w:rPr>
              <w:t>La Personería Municipal de Itagüí está obligada por los Acuerdos Comerciales con Chile y Guatemala y por la Decisión 439 de 1998 de la Secretaría de la CAN.</w:t>
            </w:r>
          </w:p>
          <w:p w:rsidR="002623DF" w:rsidRPr="0080598B" w:rsidRDefault="002623DF" w:rsidP="00D015EE">
            <w:pPr>
              <w:pStyle w:val="Default"/>
              <w:jc w:val="both"/>
              <w:rPr>
                <w:sz w:val="20"/>
                <w:szCs w:val="20"/>
              </w:rPr>
            </w:pPr>
          </w:p>
        </w:tc>
      </w:tr>
      <w:tr w:rsidR="002623DF" w:rsidRPr="0080598B" w:rsidTr="00D015EE">
        <w:tc>
          <w:tcPr>
            <w:tcW w:w="9657" w:type="dxa"/>
            <w:gridSpan w:val="6"/>
          </w:tcPr>
          <w:p w:rsidR="002623DF" w:rsidRPr="0080598B" w:rsidRDefault="002623DF" w:rsidP="00D015EE">
            <w:pPr>
              <w:pStyle w:val="Default"/>
              <w:jc w:val="both"/>
              <w:rPr>
                <w:color w:val="auto"/>
                <w:sz w:val="20"/>
                <w:szCs w:val="20"/>
              </w:rPr>
            </w:pPr>
            <w:r w:rsidRPr="0080598B">
              <w:rPr>
                <w:color w:val="auto"/>
                <w:sz w:val="20"/>
                <w:szCs w:val="20"/>
              </w:rPr>
              <w:t xml:space="preserve">16.  FIRMAS: </w:t>
            </w:r>
          </w:p>
          <w:p w:rsidR="002623DF" w:rsidRPr="0080598B" w:rsidRDefault="002623DF" w:rsidP="00D015EE">
            <w:pPr>
              <w:pStyle w:val="Default"/>
              <w:jc w:val="both"/>
              <w:rPr>
                <w:color w:val="auto"/>
                <w:sz w:val="20"/>
                <w:szCs w:val="20"/>
              </w:rPr>
            </w:pPr>
          </w:p>
          <w:p w:rsidR="002623DF" w:rsidRPr="0080598B" w:rsidRDefault="005D2402" w:rsidP="005D2402">
            <w:pPr>
              <w:pStyle w:val="Default"/>
              <w:jc w:val="both"/>
              <w:rPr>
                <w:color w:val="auto"/>
                <w:sz w:val="20"/>
                <w:szCs w:val="20"/>
                <w:lang w:val="es-CO"/>
              </w:rPr>
            </w:pPr>
            <w:r w:rsidRPr="0080598B">
              <w:rPr>
                <w:noProof/>
                <w:color w:val="auto"/>
                <w:sz w:val="20"/>
                <w:szCs w:val="20"/>
              </w:rPr>
              <w:drawing>
                <wp:inline distT="0" distB="0" distL="0" distR="0">
                  <wp:extent cx="2143125" cy="1606123"/>
                  <wp:effectExtent l="1905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srcRect/>
                          <a:stretch>
                            <a:fillRect/>
                          </a:stretch>
                        </pic:blipFill>
                        <pic:spPr bwMode="auto">
                          <a:xfrm>
                            <a:off x="0" y="0"/>
                            <a:ext cx="2143125" cy="1606123"/>
                          </a:xfrm>
                          <a:prstGeom prst="rect">
                            <a:avLst/>
                          </a:prstGeom>
                          <a:noFill/>
                          <a:ln w="9525">
                            <a:noFill/>
                            <a:miter lim="800000"/>
                            <a:headEnd/>
                            <a:tailEnd/>
                          </a:ln>
                        </pic:spPr>
                      </pic:pic>
                    </a:graphicData>
                  </a:graphic>
                </wp:inline>
              </w:drawing>
            </w:r>
            <w:r w:rsidRPr="0080598B">
              <w:rPr>
                <w:noProof/>
                <w:color w:val="auto"/>
                <w:sz w:val="20"/>
                <w:szCs w:val="20"/>
              </w:rPr>
              <w:drawing>
                <wp:inline distT="0" distB="0" distL="0" distR="0">
                  <wp:extent cx="4219575" cy="2543859"/>
                  <wp:effectExtent l="1905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4219575" cy="2543859"/>
                          </a:xfrm>
                          <a:prstGeom prst="rect">
                            <a:avLst/>
                          </a:prstGeom>
                          <a:noFill/>
                          <a:ln w="9525">
                            <a:noFill/>
                            <a:miter lim="800000"/>
                            <a:headEnd/>
                            <a:tailEnd/>
                          </a:ln>
                        </pic:spPr>
                      </pic:pic>
                    </a:graphicData>
                  </a:graphic>
                </wp:inline>
              </w:drawing>
            </w:r>
          </w:p>
        </w:tc>
      </w:tr>
    </w:tbl>
    <w:p w:rsidR="005108F5" w:rsidRPr="0080598B" w:rsidRDefault="00E81F24" w:rsidP="002623DF">
      <w:pPr>
        <w:rPr>
          <w:rFonts w:ascii="Arial" w:eastAsiaTheme="minorEastAsia" w:hAnsi="Arial" w:cs="Arial"/>
          <w:sz w:val="20"/>
          <w:szCs w:val="20"/>
        </w:rPr>
      </w:pPr>
      <w:r w:rsidRPr="0080598B">
        <w:rPr>
          <w:rFonts w:ascii="Arial" w:eastAsiaTheme="minorEastAsia" w:hAnsi="Arial" w:cs="Arial"/>
          <w:sz w:val="20"/>
          <w:szCs w:val="20"/>
        </w:rPr>
        <w:t xml:space="preserve">Apoyó María Oliva Londoño A. P.U. </w:t>
      </w:r>
      <w:r w:rsidR="00EB1C87" w:rsidRPr="0080598B">
        <w:rPr>
          <w:rFonts w:ascii="Arial" w:eastAsiaTheme="minorEastAsia" w:hAnsi="Arial" w:cs="Arial"/>
          <w:sz w:val="20"/>
          <w:szCs w:val="20"/>
        </w:rPr>
        <w:t>10/</w:t>
      </w:r>
      <w:r w:rsidR="004F761B">
        <w:rPr>
          <w:rFonts w:ascii="Arial" w:eastAsiaTheme="minorEastAsia" w:hAnsi="Arial" w:cs="Arial"/>
          <w:sz w:val="20"/>
          <w:szCs w:val="20"/>
        </w:rPr>
        <w:t>06/2022</w:t>
      </w:r>
    </w:p>
    <w:p w:rsidR="00D015EE" w:rsidRPr="0080598B" w:rsidRDefault="00D015EE" w:rsidP="002623DF">
      <w:pPr>
        <w:rPr>
          <w:rFonts w:ascii="Arial" w:eastAsiaTheme="minorEastAsia" w:hAnsi="Arial" w:cs="Arial"/>
          <w:b/>
          <w:sz w:val="20"/>
          <w:szCs w:val="20"/>
        </w:rPr>
      </w:pPr>
    </w:p>
    <w:sectPr w:rsidR="00D015EE" w:rsidRPr="0080598B" w:rsidSect="00024683">
      <w:headerReference w:type="even" r:id="rId18"/>
      <w:headerReference w:type="default" r:id="rId19"/>
      <w:footerReference w:type="even" r:id="rId20"/>
      <w:footerReference w:type="default" r:id="rId21"/>
      <w:headerReference w:type="first" r:id="rId22"/>
      <w:footerReference w:type="first" r:id="rId23"/>
      <w:pgSz w:w="12242" w:h="19295" w:code="190"/>
      <w:pgMar w:top="1701" w:right="1134" w:bottom="1077" w:left="1701" w:header="737"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98B" w:rsidRDefault="0080598B" w:rsidP="000C4C7E">
      <w:r>
        <w:separator/>
      </w:r>
    </w:p>
  </w:endnote>
  <w:endnote w:type="continuationSeparator" w:id="0">
    <w:p w:rsidR="0080598B" w:rsidRDefault="0080598B" w:rsidP="000C4C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MS Mincho"/>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8B" w:rsidRDefault="0080598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26" w:type="dxa"/>
      <w:tblLook w:val="04A0"/>
    </w:tblPr>
    <w:tblGrid>
      <w:gridCol w:w="6036"/>
      <w:gridCol w:w="4879"/>
    </w:tblGrid>
    <w:tr w:rsidR="0080598B" w:rsidRPr="00E25F48" w:rsidTr="00496D83">
      <w:tc>
        <w:tcPr>
          <w:tcW w:w="6036" w:type="dxa"/>
          <w:shd w:val="clear" w:color="auto" w:fill="auto"/>
        </w:tcPr>
        <w:p w:rsidR="0080598B" w:rsidRPr="00E25F48" w:rsidRDefault="0080598B" w:rsidP="00D015EE">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879" w:type="dxa"/>
          <w:shd w:val="clear" w:color="auto" w:fill="auto"/>
        </w:tcPr>
        <w:p w:rsidR="0080598B" w:rsidRPr="00E25F48" w:rsidRDefault="0080598B" w:rsidP="00D015EE">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80598B" w:rsidRDefault="0080598B" w:rsidP="005A4B52">
    <w:pPr>
      <w:pStyle w:val="Piedepgina"/>
    </w:pPr>
  </w:p>
  <w:p w:rsidR="0080598B" w:rsidRDefault="0080598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8B" w:rsidRDefault="0080598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98B" w:rsidRDefault="0080598B" w:rsidP="000C4C7E">
      <w:r>
        <w:separator/>
      </w:r>
    </w:p>
  </w:footnote>
  <w:footnote w:type="continuationSeparator" w:id="0">
    <w:p w:rsidR="0080598B" w:rsidRDefault="0080598B"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8B" w:rsidRDefault="0080598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8B" w:rsidRDefault="0080598B">
    <w:pPr>
      <w:pStyle w:val="Encabezado"/>
    </w:pPr>
    <w:sdt>
      <w:sdtPr>
        <w:id w:val="10197916"/>
        <w:docPartObj>
          <w:docPartGallery w:val="Page Numbers (Margins)"/>
          <w:docPartUnique/>
        </w:docPartObj>
      </w:sdtPr>
      <w:sdtContent>
        <w:r w:rsidRPr="00B71DBB">
          <w:rPr>
            <w:noProof/>
            <w:lang w:eastAsia="es-CO"/>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80598B" w:rsidRDefault="0080598B">
                      <w:pPr>
                        <w:pStyle w:val="Encabezado"/>
                        <w:jc w:val="center"/>
                      </w:pPr>
                      <w:r w:rsidRPr="00B71DBB">
                        <w:fldChar w:fldCharType="begin"/>
                      </w:r>
                      <w:r>
                        <w:instrText xml:space="preserve"> PAGE    \* MERGEFORMAT </w:instrText>
                      </w:r>
                      <w:r w:rsidRPr="00B71DBB">
                        <w:fldChar w:fldCharType="separate"/>
                      </w:r>
                      <w:r w:rsidR="004F761B" w:rsidRPr="004F761B">
                        <w:rPr>
                          <w:rStyle w:val="Nmerodepgina"/>
                          <w:b/>
                          <w:noProof/>
                          <w:color w:val="3F3151" w:themeColor="accent4" w:themeShade="7F"/>
                          <w:sz w:val="16"/>
                          <w:szCs w:val="16"/>
                        </w:rPr>
                        <w:t>1</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80598B" w:rsidRPr="008920BC" w:rsidTr="008920BC">
      <w:trPr>
        <w:trHeight w:val="369"/>
        <w:jc w:val="center"/>
      </w:trPr>
      <w:tc>
        <w:tcPr>
          <w:tcW w:w="2376" w:type="dxa"/>
          <w:vMerge w:val="restart"/>
        </w:tcPr>
        <w:p w:rsidR="0080598B" w:rsidRPr="008920BC" w:rsidRDefault="0080598B">
          <w:pPr>
            <w:pStyle w:val="Encabezado"/>
            <w:rPr>
              <w:rFonts w:ascii="Arial" w:hAnsi="Arial" w:cs="Arial"/>
            </w:rPr>
          </w:pPr>
          <w:r>
            <w:rPr>
              <w:rFonts w:cs="Arial"/>
              <w:noProof/>
              <w:lang w:val="es-ES"/>
            </w:rPr>
            <w:drawing>
              <wp:inline distT="0" distB="0" distL="0" distR="0">
                <wp:extent cx="1362075" cy="65722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1362710" cy="657531"/>
                        </a:xfrm>
                        <a:prstGeom prst="rect">
                          <a:avLst/>
                        </a:prstGeom>
                      </pic:spPr>
                    </pic:pic>
                  </a:graphicData>
                </a:graphic>
              </wp:inline>
            </w:drawing>
          </w:r>
        </w:p>
      </w:tc>
      <w:tc>
        <w:tcPr>
          <w:tcW w:w="4988" w:type="dxa"/>
          <w:vMerge w:val="restart"/>
          <w:vAlign w:val="center"/>
        </w:tcPr>
        <w:p w:rsidR="0080598B" w:rsidRPr="008920BC" w:rsidRDefault="0080598B" w:rsidP="00A25E51">
          <w:pPr>
            <w:jc w:val="center"/>
            <w:rPr>
              <w:rFonts w:ascii="Arial" w:hAnsi="Arial" w:cs="Arial"/>
              <w:b/>
            </w:rPr>
          </w:pPr>
          <w:r w:rsidRPr="007A74AB">
            <w:rPr>
              <w:rFonts w:ascii="Arial" w:hAnsi="Arial" w:cs="Arial"/>
              <w:b/>
              <w:sz w:val="24"/>
              <w:szCs w:val="24"/>
            </w:rPr>
            <w:t>ESTUDIOS PREVIOS PARA ELABOR</w:t>
          </w:r>
          <w:r>
            <w:rPr>
              <w:rFonts w:ascii="Arial" w:hAnsi="Arial" w:cs="Arial"/>
              <w:b/>
              <w:sz w:val="24"/>
              <w:szCs w:val="24"/>
            </w:rPr>
            <w:t>ACIÓN Y SUSCRIPCIÓN DE CONTRATOS</w:t>
          </w:r>
        </w:p>
      </w:tc>
      <w:tc>
        <w:tcPr>
          <w:tcW w:w="2257" w:type="dxa"/>
          <w:vAlign w:val="center"/>
        </w:tcPr>
        <w:p w:rsidR="0080598B" w:rsidRPr="008920BC" w:rsidRDefault="0080598B" w:rsidP="004E67E0">
          <w:pPr>
            <w:pStyle w:val="Encabezado"/>
            <w:rPr>
              <w:rFonts w:ascii="Arial" w:hAnsi="Arial" w:cs="Arial"/>
              <w:b/>
            </w:rPr>
          </w:pPr>
          <w:r w:rsidRPr="008920BC">
            <w:rPr>
              <w:rFonts w:ascii="Arial" w:hAnsi="Arial" w:cs="Arial"/>
              <w:b/>
            </w:rPr>
            <w:t>Código:</w:t>
          </w:r>
          <w:r>
            <w:rPr>
              <w:rFonts w:ascii="Arial" w:hAnsi="Arial" w:cs="Arial"/>
            </w:rPr>
            <w:t>FBS-02</w:t>
          </w:r>
        </w:p>
      </w:tc>
    </w:tr>
    <w:tr w:rsidR="0080598B" w:rsidRPr="008920BC" w:rsidTr="008920BC">
      <w:trPr>
        <w:trHeight w:val="392"/>
        <w:jc w:val="center"/>
      </w:trPr>
      <w:tc>
        <w:tcPr>
          <w:tcW w:w="2376" w:type="dxa"/>
          <w:vMerge/>
        </w:tcPr>
        <w:p w:rsidR="0080598B" w:rsidRPr="008920BC" w:rsidRDefault="0080598B">
          <w:pPr>
            <w:pStyle w:val="Encabezado"/>
            <w:rPr>
              <w:rFonts w:ascii="Arial" w:hAnsi="Arial" w:cs="Arial"/>
            </w:rPr>
          </w:pPr>
        </w:p>
      </w:tc>
      <w:tc>
        <w:tcPr>
          <w:tcW w:w="4988" w:type="dxa"/>
          <w:vMerge/>
        </w:tcPr>
        <w:p w:rsidR="0080598B" w:rsidRPr="008920BC" w:rsidRDefault="0080598B">
          <w:pPr>
            <w:pStyle w:val="Encabezado"/>
            <w:rPr>
              <w:rFonts w:ascii="Arial" w:hAnsi="Arial" w:cs="Arial"/>
            </w:rPr>
          </w:pPr>
        </w:p>
      </w:tc>
      <w:tc>
        <w:tcPr>
          <w:tcW w:w="2257" w:type="dxa"/>
          <w:vAlign w:val="center"/>
        </w:tcPr>
        <w:p w:rsidR="0080598B" w:rsidRPr="008920BC" w:rsidRDefault="0080598B" w:rsidP="004E67E0">
          <w:pPr>
            <w:pStyle w:val="Encabezado"/>
            <w:rPr>
              <w:rFonts w:ascii="Arial" w:hAnsi="Arial" w:cs="Arial"/>
              <w:b/>
            </w:rPr>
          </w:pPr>
          <w:r w:rsidRPr="008920BC">
            <w:rPr>
              <w:rFonts w:ascii="Arial" w:hAnsi="Arial" w:cs="Arial"/>
              <w:b/>
            </w:rPr>
            <w:t>Versión:</w:t>
          </w:r>
          <w:r>
            <w:rPr>
              <w:rFonts w:ascii="Arial" w:hAnsi="Arial" w:cs="Arial"/>
            </w:rPr>
            <w:t>04</w:t>
          </w:r>
        </w:p>
      </w:tc>
    </w:tr>
    <w:tr w:rsidR="0080598B" w:rsidRPr="008920BC" w:rsidTr="008920BC">
      <w:trPr>
        <w:trHeight w:val="392"/>
        <w:jc w:val="center"/>
      </w:trPr>
      <w:tc>
        <w:tcPr>
          <w:tcW w:w="2376" w:type="dxa"/>
          <w:vMerge/>
        </w:tcPr>
        <w:p w:rsidR="0080598B" w:rsidRPr="008920BC" w:rsidRDefault="0080598B">
          <w:pPr>
            <w:pStyle w:val="Encabezado"/>
            <w:rPr>
              <w:rFonts w:ascii="Arial" w:hAnsi="Arial" w:cs="Arial"/>
            </w:rPr>
          </w:pPr>
        </w:p>
      </w:tc>
      <w:tc>
        <w:tcPr>
          <w:tcW w:w="4988" w:type="dxa"/>
          <w:vMerge/>
        </w:tcPr>
        <w:p w:rsidR="0080598B" w:rsidRPr="008920BC" w:rsidRDefault="0080598B">
          <w:pPr>
            <w:pStyle w:val="Encabezado"/>
            <w:rPr>
              <w:rFonts w:ascii="Arial" w:hAnsi="Arial" w:cs="Arial"/>
            </w:rPr>
          </w:pPr>
        </w:p>
      </w:tc>
      <w:tc>
        <w:tcPr>
          <w:tcW w:w="2257" w:type="dxa"/>
          <w:vAlign w:val="center"/>
        </w:tcPr>
        <w:p w:rsidR="0080598B" w:rsidRPr="008920BC" w:rsidRDefault="0080598B" w:rsidP="00211729">
          <w:pPr>
            <w:pStyle w:val="Encabezado"/>
            <w:rPr>
              <w:rFonts w:ascii="Arial" w:hAnsi="Arial" w:cs="Arial"/>
              <w:b/>
            </w:rPr>
          </w:pPr>
          <w:r w:rsidRPr="008920BC">
            <w:rPr>
              <w:rFonts w:ascii="Arial" w:hAnsi="Arial" w:cs="Arial"/>
              <w:b/>
            </w:rPr>
            <w:t>Fecha:</w:t>
          </w:r>
          <w:r>
            <w:rPr>
              <w:rFonts w:ascii="Arial" w:hAnsi="Arial" w:cs="Arial"/>
            </w:rPr>
            <w:t>24/02/2022</w:t>
          </w:r>
        </w:p>
      </w:tc>
    </w:tr>
  </w:tbl>
  <w:p w:rsidR="0080598B" w:rsidRDefault="0080598B" w:rsidP="004601C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8B" w:rsidRDefault="0080598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C5506"/>
    <w:multiLevelType w:val="hybridMultilevel"/>
    <w:tmpl w:val="12E43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00DB6"/>
    <w:multiLevelType w:val="hybridMultilevel"/>
    <w:tmpl w:val="081A40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A2B3D83"/>
    <w:multiLevelType w:val="hybridMultilevel"/>
    <w:tmpl w:val="26504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FA19D6"/>
    <w:multiLevelType w:val="hybridMultilevel"/>
    <w:tmpl w:val="E3804D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4B4016E"/>
    <w:multiLevelType w:val="hybridMultilevel"/>
    <w:tmpl w:val="38160B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5755E97"/>
    <w:multiLevelType w:val="hybridMultilevel"/>
    <w:tmpl w:val="2CA41BAA"/>
    <w:lvl w:ilvl="0" w:tplc="737606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20BE5B7E"/>
    <w:multiLevelType w:val="hybridMultilevel"/>
    <w:tmpl w:val="8300013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232E59D4"/>
    <w:multiLevelType w:val="hybridMultilevel"/>
    <w:tmpl w:val="B9F21BDE"/>
    <w:lvl w:ilvl="0" w:tplc="737606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7384444"/>
    <w:multiLevelType w:val="hybridMultilevel"/>
    <w:tmpl w:val="34B0C1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784037B"/>
    <w:multiLevelType w:val="hybridMultilevel"/>
    <w:tmpl w:val="7248CC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CC7622D"/>
    <w:multiLevelType w:val="hybridMultilevel"/>
    <w:tmpl w:val="3A96E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B44992"/>
    <w:multiLevelType w:val="hybridMultilevel"/>
    <w:tmpl w:val="3A0E91BC"/>
    <w:lvl w:ilvl="0" w:tplc="737606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63C367A"/>
    <w:multiLevelType w:val="hybridMultilevel"/>
    <w:tmpl w:val="6EDC53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484E1CDD"/>
    <w:multiLevelType w:val="hybridMultilevel"/>
    <w:tmpl w:val="7B0C0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CFC3596"/>
    <w:multiLevelType w:val="hybridMultilevel"/>
    <w:tmpl w:val="F7B8FE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51F4567E"/>
    <w:multiLevelType w:val="hybridMultilevel"/>
    <w:tmpl w:val="DB3AC1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4797125"/>
    <w:multiLevelType w:val="hybridMultilevel"/>
    <w:tmpl w:val="B762D03A"/>
    <w:lvl w:ilvl="0" w:tplc="7376063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5514385"/>
    <w:multiLevelType w:val="hybridMultilevel"/>
    <w:tmpl w:val="A8BCB3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5B7134F0"/>
    <w:multiLevelType w:val="hybridMultilevel"/>
    <w:tmpl w:val="45D08BF8"/>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14979C6"/>
    <w:multiLevelType w:val="multilevel"/>
    <w:tmpl w:val="F870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3865D28"/>
    <w:multiLevelType w:val="hybridMultilevel"/>
    <w:tmpl w:val="321E34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3AE4C90"/>
    <w:multiLevelType w:val="hybridMultilevel"/>
    <w:tmpl w:val="0C4617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4">
    <w:nsid w:val="65CC1C78"/>
    <w:multiLevelType w:val="hybridMultilevel"/>
    <w:tmpl w:val="BCDA7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C6952E9"/>
    <w:multiLevelType w:val="hybridMultilevel"/>
    <w:tmpl w:val="7E983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406537E"/>
    <w:multiLevelType w:val="hybridMultilevel"/>
    <w:tmpl w:val="C2FE039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4"/>
  </w:num>
  <w:num w:numId="2">
    <w:abstractNumId w:val="6"/>
  </w:num>
  <w:num w:numId="3">
    <w:abstractNumId w:val="24"/>
  </w:num>
  <w:num w:numId="4">
    <w:abstractNumId w:val="9"/>
  </w:num>
  <w:num w:numId="5">
    <w:abstractNumId w:val="2"/>
  </w:num>
  <w:num w:numId="6">
    <w:abstractNumId w:val="1"/>
  </w:num>
  <w:num w:numId="7">
    <w:abstractNumId w:val="15"/>
  </w:num>
  <w:num w:numId="8">
    <w:abstractNumId w:val="19"/>
  </w:num>
  <w:num w:numId="9">
    <w:abstractNumId w:val="4"/>
  </w:num>
  <w:num w:numId="10">
    <w:abstractNumId w:val="25"/>
  </w:num>
  <w:num w:numId="11">
    <w:abstractNumId w:val="3"/>
  </w:num>
  <w:num w:numId="12">
    <w:abstractNumId w:val="16"/>
  </w:num>
  <w:num w:numId="13">
    <w:abstractNumId w:val="0"/>
  </w:num>
  <w:num w:numId="14">
    <w:abstractNumId w:val="23"/>
  </w:num>
  <w:num w:numId="15">
    <w:abstractNumId w:val="20"/>
  </w:num>
  <w:num w:numId="16">
    <w:abstractNumId w:val="7"/>
  </w:num>
  <w:num w:numId="17">
    <w:abstractNumId w:val="26"/>
  </w:num>
  <w:num w:numId="18">
    <w:abstractNumId w:val="17"/>
  </w:num>
  <w:num w:numId="19">
    <w:abstractNumId w:val="21"/>
  </w:num>
  <w:num w:numId="20">
    <w:abstractNumId w:val="10"/>
  </w:num>
  <w:num w:numId="21">
    <w:abstractNumId w:val="8"/>
  </w:num>
  <w:num w:numId="22">
    <w:abstractNumId w:val="22"/>
  </w:num>
  <w:num w:numId="23">
    <w:abstractNumId w:val="11"/>
  </w:num>
  <w:num w:numId="24">
    <w:abstractNumId w:val="13"/>
  </w:num>
  <w:num w:numId="25">
    <w:abstractNumId w:val="18"/>
  </w:num>
  <w:num w:numId="26">
    <w:abstractNumId w:val="5"/>
  </w:num>
  <w:num w:numId="2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24683"/>
    <w:rsid w:val="00033B60"/>
    <w:rsid w:val="00037403"/>
    <w:rsid w:val="00041BBA"/>
    <w:rsid w:val="000524EB"/>
    <w:rsid w:val="00054196"/>
    <w:rsid w:val="00054419"/>
    <w:rsid w:val="00055830"/>
    <w:rsid w:val="00071845"/>
    <w:rsid w:val="00085E35"/>
    <w:rsid w:val="000909DF"/>
    <w:rsid w:val="000977E7"/>
    <w:rsid w:val="000A041C"/>
    <w:rsid w:val="000B1241"/>
    <w:rsid w:val="000C17A0"/>
    <w:rsid w:val="000C4C2B"/>
    <w:rsid w:val="000C4C7E"/>
    <w:rsid w:val="000E28C0"/>
    <w:rsid w:val="000E3D0D"/>
    <w:rsid w:val="000F25EF"/>
    <w:rsid w:val="001026ED"/>
    <w:rsid w:val="001061DE"/>
    <w:rsid w:val="001128B1"/>
    <w:rsid w:val="00123F01"/>
    <w:rsid w:val="00126045"/>
    <w:rsid w:val="001316B1"/>
    <w:rsid w:val="001542F2"/>
    <w:rsid w:val="00154974"/>
    <w:rsid w:val="00154BB6"/>
    <w:rsid w:val="001A350E"/>
    <w:rsid w:val="001B6F50"/>
    <w:rsid w:val="001D0B9C"/>
    <w:rsid w:val="001D36AD"/>
    <w:rsid w:val="001D6C9E"/>
    <w:rsid w:val="001D71A4"/>
    <w:rsid w:val="001E06C3"/>
    <w:rsid w:val="00203CDD"/>
    <w:rsid w:val="002060D5"/>
    <w:rsid w:val="00211729"/>
    <w:rsid w:val="00214AC3"/>
    <w:rsid w:val="00220458"/>
    <w:rsid w:val="002316FB"/>
    <w:rsid w:val="00237487"/>
    <w:rsid w:val="002623DF"/>
    <w:rsid w:val="002629C2"/>
    <w:rsid w:val="00263EA7"/>
    <w:rsid w:val="0027021A"/>
    <w:rsid w:val="00283A7E"/>
    <w:rsid w:val="0028635F"/>
    <w:rsid w:val="00287421"/>
    <w:rsid w:val="002874A1"/>
    <w:rsid w:val="00287C86"/>
    <w:rsid w:val="00291F7B"/>
    <w:rsid w:val="002B22FC"/>
    <w:rsid w:val="002C0D4A"/>
    <w:rsid w:val="002D21F7"/>
    <w:rsid w:val="002E4523"/>
    <w:rsid w:val="002E4C62"/>
    <w:rsid w:val="002E60AD"/>
    <w:rsid w:val="002E66A3"/>
    <w:rsid w:val="002F0338"/>
    <w:rsid w:val="003023A7"/>
    <w:rsid w:val="003036EF"/>
    <w:rsid w:val="00306D4A"/>
    <w:rsid w:val="00320453"/>
    <w:rsid w:val="0032158F"/>
    <w:rsid w:val="00324374"/>
    <w:rsid w:val="00333F23"/>
    <w:rsid w:val="003467EF"/>
    <w:rsid w:val="00356E70"/>
    <w:rsid w:val="00362A62"/>
    <w:rsid w:val="00364416"/>
    <w:rsid w:val="0037430C"/>
    <w:rsid w:val="00377431"/>
    <w:rsid w:val="00396041"/>
    <w:rsid w:val="003A0776"/>
    <w:rsid w:val="003A28DE"/>
    <w:rsid w:val="003A515C"/>
    <w:rsid w:val="003B7B39"/>
    <w:rsid w:val="003C5012"/>
    <w:rsid w:val="003C57F4"/>
    <w:rsid w:val="003D1667"/>
    <w:rsid w:val="003D24A1"/>
    <w:rsid w:val="003D4165"/>
    <w:rsid w:val="003E3AA5"/>
    <w:rsid w:val="003F13A5"/>
    <w:rsid w:val="00401934"/>
    <w:rsid w:val="004025A7"/>
    <w:rsid w:val="0041182D"/>
    <w:rsid w:val="004168E3"/>
    <w:rsid w:val="00425167"/>
    <w:rsid w:val="00455ADF"/>
    <w:rsid w:val="004601C9"/>
    <w:rsid w:val="00473AAF"/>
    <w:rsid w:val="00477541"/>
    <w:rsid w:val="00483F87"/>
    <w:rsid w:val="00496D83"/>
    <w:rsid w:val="004A2698"/>
    <w:rsid w:val="004A4766"/>
    <w:rsid w:val="004C23F6"/>
    <w:rsid w:val="004C2A62"/>
    <w:rsid w:val="004C3E9B"/>
    <w:rsid w:val="004C4A2C"/>
    <w:rsid w:val="004C6568"/>
    <w:rsid w:val="004D6CA6"/>
    <w:rsid w:val="004E5FE0"/>
    <w:rsid w:val="004E67E0"/>
    <w:rsid w:val="004F761B"/>
    <w:rsid w:val="00502B23"/>
    <w:rsid w:val="00505984"/>
    <w:rsid w:val="005108F5"/>
    <w:rsid w:val="00525A78"/>
    <w:rsid w:val="005325CC"/>
    <w:rsid w:val="005433F0"/>
    <w:rsid w:val="00547F8A"/>
    <w:rsid w:val="00550C38"/>
    <w:rsid w:val="00561D21"/>
    <w:rsid w:val="005655B0"/>
    <w:rsid w:val="00565A19"/>
    <w:rsid w:val="00573FDD"/>
    <w:rsid w:val="00575829"/>
    <w:rsid w:val="00577FBF"/>
    <w:rsid w:val="00590EB0"/>
    <w:rsid w:val="005A18D8"/>
    <w:rsid w:val="005A4B52"/>
    <w:rsid w:val="005C28C9"/>
    <w:rsid w:val="005C5847"/>
    <w:rsid w:val="005D2402"/>
    <w:rsid w:val="005E186C"/>
    <w:rsid w:val="005E778C"/>
    <w:rsid w:val="005F19E0"/>
    <w:rsid w:val="005F1A5E"/>
    <w:rsid w:val="00606D85"/>
    <w:rsid w:val="0060702F"/>
    <w:rsid w:val="00616203"/>
    <w:rsid w:val="00617CAE"/>
    <w:rsid w:val="00624B67"/>
    <w:rsid w:val="00633CC3"/>
    <w:rsid w:val="00635C14"/>
    <w:rsid w:val="006369B0"/>
    <w:rsid w:val="006616BB"/>
    <w:rsid w:val="00662282"/>
    <w:rsid w:val="00662F0D"/>
    <w:rsid w:val="006676B8"/>
    <w:rsid w:val="00677DF7"/>
    <w:rsid w:val="00684CDD"/>
    <w:rsid w:val="006961BB"/>
    <w:rsid w:val="006A35FE"/>
    <w:rsid w:val="006C42E3"/>
    <w:rsid w:val="006C49CC"/>
    <w:rsid w:val="006C51E0"/>
    <w:rsid w:val="006C644A"/>
    <w:rsid w:val="0070340E"/>
    <w:rsid w:val="0070439C"/>
    <w:rsid w:val="007043A2"/>
    <w:rsid w:val="00705D7D"/>
    <w:rsid w:val="00710214"/>
    <w:rsid w:val="00713E10"/>
    <w:rsid w:val="00726D68"/>
    <w:rsid w:val="0074340E"/>
    <w:rsid w:val="0074344B"/>
    <w:rsid w:val="0075010F"/>
    <w:rsid w:val="0075629F"/>
    <w:rsid w:val="00766A31"/>
    <w:rsid w:val="007719DD"/>
    <w:rsid w:val="00771D01"/>
    <w:rsid w:val="007871FD"/>
    <w:rsid w:val="00790562"/>
    <w:rsid w:val="007966AC"/>
    <w:rsid w:val="007A3776"/>
    <w:rsid w:val="007B3265"/>
    <w:rsid w:val="007B766A"/>
    <w:rsid w:val="007C2042"/>
    <w:rsid w:val="007D7955"/>
    <w:rsid w:val="007E6C9B"/>
    <w:rsid w:val="008008BD"/>
    <w:rsid w:val="00802CD1"/>
    <w:rsid w:val="0080598B"/>
    <w:rsid w:val="00821E06"/>
    <w:rsid w:val="00822286"/>
    <w:rsid w:val="00823A8F"/>
    <w:rsid w:val="008559F0"/>
    <w:rsid w:val="0086165F"/>
    <w:rsid w:val="00861FB8"/>
    <w:rsid w:val="00864090"/>
    <w:rsid w:val="008733EA"/>
    <w:rsid w:val="00873921"/>
    <w:rsid w:val="00881786"/>
    <w:rsid w:val="00881A74"/>
    <w:rsid w:val="008920BC"/>
    <w:rsid w:val="00897884"/>
    <w:rsid w:val="008A0378"/>
    <w:rsid w:val="008A5B6B"/>
    <w:rsid w:val="008C39C2"/>
    <w:rsid w:val="008C6ED4"/>
    <w:rsid w:val="008E239E"/>
    <w:rsid w:val="008F1E69"/>
    <w:rsid w:val="008F542B"/>
    <w:rsid w:val="009172D7"/>
    <w:rsid w:val="00920F62"/>
    <w:rsid w:val="0092113D"/>
    <w:rsid w:val="00924C75"/>
    <w:rsid w:val="00944D6A"/>
    <w:rsid w:val="00954EA9"/>
    <w:rsid w:val="00957962"/>
    <w:rsid w:val="009610D1"/>
    <w:rsid w:val="00980793"/>
    <w:rsid w:val="009A2380"/>
    <w:rsid w:val="009A4B4E"/>
    <w:rsid w:val="009B4B3F"/>
    <w:rsid w:val="009B6010"/>
    <w:rsid w:val="009C31BE"/>
    <w:rsid w:val="009C428E"/>
    <w:rsid w:val="009C525E"/>
    <w:rsid w:val="009C5861"/>
    <w:rsid w:val="009D694E"/>
    <w:rsid w:val="009E5567"/>
    <w:rsid w:val="009E6BC7"/>
    <w:rsid w:val="00A0353E"/>
    <w:rsid w:val="00A070F3"/>
    <w:rsid w:val="00A25124"/>
    <w:rsid w:val="00A25E51"/>
    <w:rsid w:val="00A33DAF"/>
    <w:rsid w:val="00A57C84"/>
    <w:rsid w:val="00A60056"/>
    <w:rsid w:val="00A646BE"/>
    <w:rsid w:val="00A74C04"/>
    <w:rsid w:val="00A9438A"/>
    <w:rsid w:val="00AC6708"/>
    <w:rsid w:val="00AC7ABE"/>
    <w:rsid w:val="00AD1FC5"/>
    <w:rsid w:val="00AF34EF"/>
    <w:rsid w:val="00AF6944"/>
    <w:rsid w:val="00B10808"/>
    <w:rsid w:val="00B1456B"/>
    <w:rsid w:val="00B2473A"/>
    <w:rsid w:val="00B27323"/>
    <w:rsid w:val="00B27D04"/>
    <w:rsid w:val="00B33BA1"/>
    <w:rsid w:val="00B528B6"/>
    <w:rsid w:val="00B614D3"/>
    <w:rsid w:val="00B71DBB"/>
    <w:rsid w:val="00B72883"/>
    <w:rsid w:val="00B83AB2"/>
    <w:rsid w:val="00B901B5"/>
    <w:rsid w:val="00B91BB2"/>
    <w:rsid w:val="00B91FB5"/>
    <w:rsid w:val="00B92D3B"/>
    <w:rsid w:val="00BA7A1C"/>
    <w:rsid w:val="00BB0C7E"/>
    <w:rsid w:val="00BC5723"/>
    <w:rsid w:val="00BC6450"/>
    <w:rsid w:val="00BC677D"/>
    <w:rsid w:val="00BC7F6F"/>
    <w:rsid w:val="00BD25E7"/>
    <w:rsid w:val="00BD59EB"/>
    <w:rsid w:val="00BE1E5B"/>
    <w:rsid w:val="00BF1DFB"/>
    <w:rsid w:val="00C2001A"/>
    <w:rsid w:val="00C24BCB"/>
    <w:rsid w:val="00C27F0E"/>
    <w:rsid w:val="00C40FFA"/>
    <w:rsid w:val="00C57884"/>
    <w:rsid w:val="00C60632"/>
    <w:rsid w:val="00C70108"/>
    <w:rsid w:val="00C701A4"/>
    <w:rsid w:val="00C70705"/>
    <w:rsid w:val="00C721E3"/>
    <w:rsid w:val="00C7287B"/>
    <w:rsid w:val="00C75B5C"/>
    <w:rsid w:val="00C76291"/>
    <w:rsid w:val="00C7767D"/>
    <w:rsid w:val="00C83947"/>
    <w:rsid w:val="00C83AAA"/>
    <w:rsid w:val="00C85C33"/>
    <w:rsid w:val="00C910D5"/>
    <w:rsid w:val="00C9344D"/>
    <w:rsid w:val="00CA1643"/>
    <w:rsid w:val="00CB6E06"/>
    <w:rsid w:val="00CB717F"/>
    <w:rsid w:val="00CC1183"/>
    <w:rsid w:val="00CD0A48"/>
    <w:rsid w:val="00CD5D0D"/>
    <w:rsid w:val="00CE035A"/>
    <w:rsid w:val="00D015EE"/>
    <w:rsid w:val="00D01EDF"/>
    <w:rsid w:val="00D20052"/>
    <w:rsid w:val="00D22664"/>
    <w:rsid w:val="00D24CED"/>
    <w:rsid w:val="00D2518E"/>
    <w:rsid w:val="00D263C0"/>
    <w:rsid w:val="00D269BB"/>
    <w:rsid w:val="00D303C3"/>
    <w:rsid w:val="00D35D5C"/>
    <w:rsid w:val="00D40143"/>
    <w:rsid w:val="00D46CD5"/>
    <w:rsid w:val="00D5277B"/>
    <w:rsid w:val="00D60F30"/>
    <w:rsid w:val="00D74A27"/>
    <w:rsid w:val="00D76AB6"/>
    <w:rsid w:val="00D9373C"/>
    <w:rsid w:val="00D970D2"/>
    <w:rsid w:val="00DA56DD"/>
    <w:rsid w:val="00DC7B09"/>
    <w:rsid w:val="00DD36EF"/>
    <w:rsid w:val="00DD66D7"/>
    <w:rsid w:val="00DE0394"/>
    <w:rsid w:val="00DE196E"/>
    <w:rsid w:val="00DE23BF"/>
    <w:rsid w:val="00DE33AA"/>
    <w:rsid w:val="00DE632D"/>
    <w:rsid w:val="00E0371F"/>
    <w:rsid w:val="00E071C1"/>
    <w:rsid w:val="00E1375C"/>
    <w:rsid w:val="00E15DB1"/>
    <w:rsid w:val="00E17EBA"/>
    <w:rsid w:val="00E23315"/>
    <w:rsid w:val="00E30307"/>
    <w:rsid w:val="00E31286"/>
    <w:rsid w:val="00E34992"/>
    <w:rsid w:val="00E45FDE"/>
    <w:rsid w:val="00E53321"/>
    <w:rsid w:val="00E54DFA"/>
    <w:rsid w:val="00E569E8"/>
    <w:rsid w:val="00E56EB3"/>
    <w:rsid w:val="00E61A7C"/>
    <w:rsid w:val="00E6221F"/>
    <w:rsid w:val="00E70190"/>
    <w:rsid w:val="00E75C15"/>
    <w:rsid w:val="00E77887"/>
    <w:rsid w:val="00E810B0"/>
    <w:rsid w:val="00E814B0"/>
    <w:rsid w:val="00E81F24"/>
    <w:rsid w:val="00E844A9"/>
    <w:rsid w:val="00E8760D"/>
    <w:rsid w:val="00E95807"/>
    <w:rsid w:val="00EA0161"/>
    <w:rsid w:val="00EA1514"/>
    <w:rsid w:val="00EB1C87"/>
    <w:rsid w:val="00EB61B0"/>
    <w:rsid w:val="00EC7E44"/>
    <w:rsid w:val="00ED28EB"/>
    <w:rsid w:val="00EE280A"/>
    <w:rsid w:val="00EE7562"/>
    <w:rsid w:val="00EF00A1"/>
    <w:rsid w:val="00EF593F"/>
    <w:rsid w:val="00EF59BC"/>
    <w:rsid w:val="00EF726E"/>
    <w:rsid w:val="00F002F0"/>
    <w:rsid w:val="00F0226A"/>
    <w:rsid w:val="00F11D6B"/>
    <w:rsid w:val="00F13603"/>
    <w:rsid w:val="00F15B52"/>
    <w:rsid w:val="00F22F8D"/>
    <w:rsid w:val="00F303B0"/>
    <w:rsid w:val="00F32B38"/>
    <w:rsid w:val="00F44590"/>
    <w:rsid w:val="00F535AC"/>
    <w:rsid w:val="00F66D9F"/>
    <w:rsid w:val="00F840AB"/>
    <w:rsid w:val="00F84C20"/>
    <w:rsid w:val="00F9050D"/>
    <w:rsid w:val="00F90A72"/>
    <w:rsid w:val="00F9200F"/>
    <w:rsid w:val="00FA0AF1"/>
    <w:rsid w:val="00FB1480"/>
    <w:rsid w:val="00FB6536"/>
    <w:rsid w:val="00FD2256"/>
    <w:rsid w:val="00FD4467"/>
    <w:rsid w:val="00FD60CB"/>
    <w:rsid w:val="00FD7C91"/>
    <w:rsid w:val="00FE2232"/>
    <w:rsid w:val="00FE2F22"/>
    <w:rsid w:val="00FE4CF6"/>
    <w:rsid w:val="00FE4E3D"/>
    <w:rsid w:val="00FF6F84"/>
    <w:rsid w:val="00FF739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1">
    <w:name w:val="heading 1"/>
    <w:basedOn w:val="Normal"/>
    <w:next w:val="Normal"/>
    <w:link w:val="Ttulo1Car"/>
    <w:uiPriority w:val="9"/>
    <w:qFormat/>
    <w:rsid w:val="00EB1C87"/>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s-ES" w:eastAsia="en-US"/>
    </w:rPr>
  </w:style>
  <w:style w:type="paragraph" w:styleId="Ttulo3">
    <w:name w:val="heading 3"/>
    <w:basedOn w:val="Normal"/>
    <w:link w:val="Ttulo3Car"/>
    <w:uiPriority w:val="9"/>
    <w:qFormat/>
    <w:rsid w:val="00EB1C87"/>
    <w:pPr>
      <w:spacing w:before="100" w:beforeAutospacing="1" w:after="100" w:afterAutospacing="1"/>
      <w:outlineLvl w:val="2"/>
    </w:pPr>
    <w:rPr>
      <w:b/>
      <w:bCs/>
      <w:sz w:val="27"/>
      <w:szCs w:val="27"/>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link w:val="PrrafodelistaCar"/>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EE7562"/>
    <w:pPr>
      <w:spacing w:after="0" w:line="240" w:lineRule="auto"/>
    </w:pPr>
    <w:rPr>
      <w:rFonts w:ascii="Times New Roman" w:eastAsia="Times New Roman" w:hAnsi="Times New Roman" w:cs="Times New Roman"/>
      <w:sz w:val="24"/>
      <w:szCs w:val="24"/>
      <w:lang w:val="es-CO" w:eastAsia="es-ES"/>
    </w:rPr>
  </w:style>
  <w:style w:type="paragraph" w:customStyle="1" w:styleId="Textopredeterminado">
    <w:name w:val="Texto predeterminado"/>
    <w:basedOn w:val="Normal"/>
    <w:rsid w:val="004601C9"/>
    <w:rPr>
      <w:szCs w:val="20"/>
      <w:lang w:val="en-US"/>
    </w:rPr>
  </w:style>
  <w:style w:type="paragraph" w:customStyle="1" w:styleId="Default">
    <w:name w:val="Default"/>
    <w:rsid w:val="00881786"/>
    <w:pPr>
      <w:autoSpaceDE w:val="0"/>
      <w:autoSpaceDN w:val="0"/>
      <w:adjustRightInd w:val="0"/>
      <w:spacing w:after="0" w:line="240" w:lineRule="auto"/>
    </w:pPr>
    <w:rPr>
      <w:rFonts w:ascii="Arial" w:eastAsia="Calibri" w:hAnsi="Arial" w:cs="Arial"/>
      <w:color w:val="000000"/>
      <w:sz w:val="24"/>
      <w:szCs w:val="24"/>
      <w:lang w:eastAsia="es-ES"/>
    </w:rPr>
  </w:style>
  <w:style w:type="paragraph" w:styleId="NormalWeb">
    <w:name w:val="Normal (Web)"/>
    <w:basedOn w:val="Normal"/>
    <w:uiPriority w:val="99"/>
    <w:unhideWhenUsed/>
    <w:rsid w:val="00881786"/>
    <w:pPr>
      <w:spacing w:before="100" w:beforeAutospacing="1" w:after="100" w:afterAutospacing="1"/>
    </w:pPr>
    <w:rPr>
      <w:lang w:val="es-ES"/>
    </w:rPr>
  </w:style>
  <w:style w:type="character" w:styleId="Refdecomentario">
    <w:name w:val="annotation reference"/>
    <w:basedOn w:val="Fuentedeprrafopredeter"/>
    <w:uiPriority w:val="99"/>
    <w:semiHidden/>
    <w:unhideWhenUsed/>
    <w:rsid w:val="00BF1DFB"/>
    <w:rPr>
      <w:sz w:val="16"/>
      <w:szCs w:val="16"/>
    </w:rPr>
  </w:style>
  <w:style w:type="paragraph" w:styleId="Textocomentario">
    <w:name w:val="annotation text"/>
    <w:basedOn w:val="Normal"/>
    <w:link w:val="TextocomentarioCar"/>
    <w:uiPriority w:val="99"/>
    <w:semiHidden/>
    <w:unhideWhenUsed/>
    <w:rsid w:val="00BF1DFB"/>
    <w:rPr>
      <w:sz w:val="20"/>
      <w:szCs w:val="20"/>
    </w:rPr>
  </w:style>
  <w:style w:type="character" w:customStyle="1" w:styleId="TextocomentarioCar">
    <w:name w:val="Texto comentario Car"/>
    <w:basedOn w:val="Fuentedeprrafopredeter"/>
    <w:link w:val="Textocomentario"/>
    <w:uiPriority w:val="99"/>
    <w:semiHidden/>
    <w:rsid w:val="00BF1DFB"/>
    <w:rPr>
      <w:rFonts w:ascii="Times New Roman" w:eastAsia="Times New Roman" w:hAnsi="Times New Roman" w:cs="Times New Roman"/>
      <w:sz w:val="20"/>
      <w:szCs w:val="20"/>
      <w:lang w:val="es-CO" w:eastAsia="es-ES"/>
    </w:rPr>
  </w:style>
  <w:style w:type="paragraph" w:styleId="Asuntodelcomentario">
    <w:name w:val="annotation subject"/>
    <w:basedOn w:val="Textocomentario"/>
    <w:next w:val="Textocomentario"/>
    <w:link w:val="AsuntodelcomentarioCar"/>
    <w:uiPriority w:val="99"/>
    <w:semiHidden/>
    <w:unhideWhenUsed/>
    <w:rsid w:val="00BF1DFB"/>
    <w:rPr>
      <w:b/>
      <w:bCs/>
    </w:rPr>
  </w:style>
  <w:style w:type="character" w:customStyle="1" w:styleId="AsuntodelcomentarioCar">
    <w:name w:val="Asunto del comentario Car"/>
    <w:basedOn w:val="TextocomentarioCar"/>
    <w:link w:val="Asuntodelcomentario"/>
    <w:uiPriority w:val="99"/>
    <w:semiHidden/>
    <w:rsid w:val="00BF1DFB"/>
    <w:rPr>
      <w:rFonts w:ascii="Times New Roman" w:eastAsia="Times New Roman" w:hAnsi="Times New Roman" w:cs="Times New Roman"/>
      <w:b/>
      <w:bCs/>
      <w:sz w:val="20"/>
      <w:szCs w:val="20"/>
      <w:lang w:val="es-CO" w:eastAsia="es-ES"/>
    </w:rPr>
  </w:style>
  <w:style w:type="character" w:styleId="Textoennegrita">
    <w:name w:val="Strong"/>
    <w:basedOn w:val="Fuentedeprrafopredeter"/>
    <w:uiPriority w:val="22"/>
    <w:qFormat/>
    <w:rsid w:val="00BF1DFB"/>
    <w:rPr>
      <w:b/>
      <w:bCs/>
    </w:rPr>
  </w:style>
  <w:style w:type="paragraph" w:styleId="Revisin">
    <w:name w:val="Revision"/>
    <w:hidden/>
    <w:uiPriority w:val="99"/>
    <w:semiHidden/>
    <w:rsid w:val="00BF1DFB"/>
    <w:pPr>
      <w:spacing w:after="0" w:line="240" w:lineRule="auto"/>
    </w:pPr>
    <w:rPr>
      <w:rFonts w:ascii="Times New Roman" w:eastAsia="Times New Roman" w:hAnsi="Times New Roman" w:cs="Times New Roman"/>
      <w:sz w:val="24"/>
      <w:szCs w:val="24"/>
      <w:lang w:val="es-CO" w:eastAsia="es-ES"/>
    </w:rPr>
  </w:style>
  <w:style w:type="character" w:customStyle="1" w:styleId="PrrafodelistaCar">
    <w:name w:val="Párrafo de lista Car"/>
    <w:link w:val="Prrafodelista"/>
    <w:uiPriority w:val="34"/>
    <w:locked/>
    <w:rsid w:val="00D015EE"/>
    <w:rPr>
      <w:rFonts w:ascii="Times New Roman" w:eastAsia="Times New Roman" w:hAnsi="Times New Roman" w:cs="Times New Roman"/>
      <w:sz w:val="24"/>
      <w:szCs w:val="24"/>
      <w:lang w:val="es-CO" w:eastAsia="es-ES"/>
    </w:rPr>
  </w:style>
  <w:style w:type="paragraph" w:customStyle="1" w:styleId="ui-pdp-family--regular">
    <w:name w:val="ui-pdp-family--regular"/>
    <w:basedOn w:val="Normal"/>
    <w:rsid w:val="003D4165"/>
    <w:pPr>
      <w:spacing w:before="100" w:beforeAutospacing="1" w:after="100" w:afterAutospacing="1"/>
    </w:pPr>
    <w:rPr>
      <w:lang w:val="es-ES"/>
    </w:rPr>
  </w:style>
  <w:style w:type="character" w:customStyle="1" w:styleId="ui-pdp-color--black">
    <w:name w:val="ui-pdp-color--black"/>
    <w:basedOn w:val="Fuentedeprrafopredeter"/>
    <w:rsid w:val="003D4165"/>
  </w:style>
  <w:style w:type="character" w:customStyle="1" w:styleId="Ttulo1Car">
    <w:name w:val="Título 1 Car"/>
    <w:basedOn w:val="Fuentedeprrafopredeter"/>
    <w:link w:val="Ttulo1"/>
    <w:uiPriority w:val="9"/>
    <w:rsid w:val="00EB1C87"/>
    <w:rPr>
      <w:rFonts w:asciiTheme="majorHAnsi" w:eastAsiaTheme="majorEastAsia" w:hAnsiTheme="majorHAnsi" w:cstheme="majorBidi"/>
      <w:b/>
      <w:bCs/>
      <w:color w:val="365F91" w:themeColor="accent1" w:themeShade="BF"/>
      <w:sz w:val="28"/>
      <w:szCs w:val="28"/>
    </w:rPr>
  </w:style>
  <w:style w:type="character" w:customStyle="1" w:styleId="Ttulo3Car">
    <w:name w:val="Título 3 Car"/>
    <w:basedOn w:val="Fuentedeprrafopredeter"/>
    <w:link w:val="Ttulo3"/>
    <w:uiPriority w:val="9"/>
    <w:rsid w:val="00EB1C87"/>
    <w:rPr>
      <w:rFonts w:ascii="Times New Roman" w:eastAsia="Times New Roman" w:hAnsi="Times New Roman" w:cs="Times New Roman"/>
      <w:b/>
      <w:bCs/>
      <w:sz w:val="27"/>
      <w:szCs w:val="27"/>
      <w:lang w:eastAsia="es-ES"/>
    </w:rPr>
  </w:style>
</w:styles>
</file>

<file path=word/webSettings.xml><?xml version="1.0" encoding="utf-8"?>
<w:webSettings xmlns:r="http://schemas.openxmlformats.org/officeDocument/2006/relationships" xmlns:w="http://schemas.openxmlformats.org/wordprocessingml/2006/main">
  <w:divs>
    <w:div w:id="231814080">
      <w:bodyDiv w:val="1"/>
      <w:marLeft w:val="0"/>
      <w:marRight w:val="0"/>
      <w:marTop w:val="0"/>
      <w:marBottom w:val="0"/>
      <w:divBdr>
        <w:top w:val="none" w:sz="0" w:space="0" w:color="auto"/>
        <w:left w:val="none" w:sz="0" w:space="0" w:color="auto"/>
        <w:bottom w:val="none" w:sz="0" w:space="0" w:color="auto"/>
        <w:right w:val="none" w:sz="0" w:space="0" w:color="auto"/>
      </w:divBdr>
    </w:div>
    <w:div w:id="384335164">
      <w:bodyDiv w:val="1"/>
      <w:marLeft w:val="0"/>
      <w:marRight w:val="0"/>
      <w:marTop w:val="0"/>
      <w:marBottom w:val="0"/>
      <w:divBdr>
        <w:top w:val="none" w:sz="0" w:space="0" w:color="auto"/>
        <w:left w:val="none" w:sz="0" w:space="0" w:color="auto"/>
        <w:bottom w:val="none" w:sz="0" w:space="0" w:color="auto"/>
        <w:right w:val="none" w:sz="0" w:space="0" w:color="auto"/>
      </w:divBdr>
    </w:div>
    <w:div w:id="502934422">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956331340">
      <w:bodyDiv w:val="1"/>
      <w:marLeft w:val="0"/>
      <w:marRight w:val="0"/>
      <w:marTop w:val="0"/>
      <w:marBottom w:val="0"/>
      <w:divBdr>
        <w:top w:val="none" w:sz="0" w:space="0" w:color="auto"/>
        <w:left w:val="none" w:sz="0" w:space="0" w:color="auto"/>
        <w:bottom w:val="none" w:sz="0" w:space="0" w:color="auto"/>
        <w:right w:val="none" w:sz="0" w:space="0" w:color="auto"/>
      </w:divBdr>
    </w:div>
    <w:div w:id="1365057806">
      <w:bodyDiv w:val="1"/>
      <w:marLeft w:val="0"/>
      <w:marRight w:val="0"/>
      <w:marTop w:val="0"/>
      <w:marBottom w:val="0"/>
      <w:divBdr>
        <w:top w:val="none" w:sz="0" w:space="0" w:color="auto"/>
        <w:left w:val="none" w:sz="0" w:space="0" w:color="auto"/>
        <w:bottom w:val="none" w:sz="0" w:space="0" w:color="auto"/>
        <w:right w:val="none" w:sz="0" w:space="0" w:color="auto"/>
      </w:divBdr>
    </w:div>
    <w:div w:id="1395278031">
      <w:bodyDiv w:val="1"/>
      <w:marLeft w:val="0"/>
      <w:marRight w:val="0"/>
      <w:marTop w:val="0"/>
      <w:marBottom w:val="0"/>
      <w:divBdr>
        <w:top w:val="none" w:sz="0" w:space="0" w:color="auto"/>
        <w:left w:val="none" w:sz="0" w:space="0" w:color="auto"/>
        <w:bottom w:val="none" w:sz="0" w:space="0" w:color="auto"/>
        <w:right w:val="none" w:sz="0" w:space="0" w:color="auto"/>
      </w:divBdr>
    </w:div>
    <w:div w:id="1437824490">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1980837909">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anrep.gov.co/es/informe-politica-monetaria-enero-2022"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repository.ucatolica.edu.co/bitstream/10983/26747/1/Impacto%20de%20la%20Covid-19%20en%20el%20sector%20manufactura%20en%20Colombia%20%281%29.pdf"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3BD51-32EA-499C-9908-A3C1995A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4726</Words>
  <Characters>25998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2</cp:revision>
  <cp:lastPrinted>2022-05-11T20:55:00Z</cp:lastPrinted>
  <dcterms:created xsi:type="dcterms:W3CDTF">2022-06-10T16:43:00Z</dcterms:created>
  <dcterms:modified xsi:type="dcterms:W3CDTF">2022-06-10T16:43:00Z</dcterms:modified>
</cp:coreProperties>
</file>