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429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8"/>
      </w:tblGrid>
      <w:tr w:rsidR="00A75C66" w:rsidRPr="008A4DC4" w:rsidTr="00A75C66">
        <w:trPr>
          <w:trHeight w:val="416"/>
        </w:trPr>
        <w:tc>
          <w:tcPr>
            <w:tcW w:w="10098" w:type="dxa"/>
            <w:shd w:val="clear" w:color="auto" w:fill="F3F3F3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PERIODO:  </w:t>
            </w:r>
            <w:r>
              <w:rPr>
                <w:rFonts w:ascii="Arial" w:hAnsi="Arial" w:cs="Arial"/>
                <w:bCs/>
              </w:rPr>
              <w:t>Abril</w:t>
            </w:r>
            <w:r w:rsidRPr="000C294E">
              <w:rPr>
                <w:rFonts w:ascii="Arial" w:hAnsi="Arial" w:cs="Arial"/>
                <w:bCs/>
              </w:rPr>
              <w:t xml:space="preserve"> 2022</w:t>
            </w:r>
          </w:p>
        </w:tc>
      </w:tr>
      <w:tr w:rsidR="00A75C66" w:rsidRPr="008A4DC4" w:rsidTr="00A75C66">
        <w:trPr>
          <w:trHeight w:val="426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rPr>
                <w:rFonts w:ascii="Arial" w:hAnsi="Arial" w:cs="Arial"/>
                <w:color w:val="000000"/>
              </w:rPr>
            </w:pPr>
            <w:r w:rsidRPr="00B247E5">
              <w:rPr>
                <w:rFonts w:ascii="Arial" w:hAnsi="Arial" w:cs="Arial"/>
                <w:b/>
                <w:color w:val="000000"/>
              </w:rPr>
              <w:t>POBLACION ATENDIDA DURANTE EL PERIODO</w:t>
            </w:r>
            <w:r>
              <w:rPr>
                <w:rFonts w:ascii="Arial" w:hAnsi="Arial" w:cs="Arial"/>
                <w:color w:val="000000"/>
              </w:rPr>
              <w:t>: 575</w:t>
            </w:r>
          </w:p>
        </w:tc>
      </w:tr>
      <w:tr w:rsidR="00A75C66" w:rsidRPr="008A4DC4" w:rsidTr="00A75C66">
        <w:trPr>
          <w:trHeight w:val="418"/>
        </w:trPr>
        <w:tc>
          <w:tcPr>
            <w:tcW w:w="10098" w:type="dxa"/>
            <w:shd w:val="clear" w:color="auto" w:fill="F3F3F3"/>
            <w:vAlign w:val="center"/>
          </w:tcPr>
          <w:p w:rsidR="00A75C66" w:rsidRPr="00B247E5" w:rsidRDefault="00A75C66" w:rsidP="00A75C6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 15%</w:t>
            </w:r>
          </w:p>
        </w:tc>
      </w:tr>
      <w:tr w:rsidR="00A75C66" w:rsidRPr="008A4DC4" w:rsidTr="00A75C66">
        <w:trPr>
          <w:trHeight w:val="396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META DE SATISFACCIÓN:</w:t>
            </w:r>
            <w:r>
              <w:rPr>
                <w:rFonts w:ascii="Arial" w:hAnsi="Arial" w:cs="Arial"/>
              </w:rPr>
              <w:t xml:space="preserve">  95%</w:t>
            </w:r>
          </w:p>
        </w:tc>
      </w:tr>
      <w:tr w:rsidR="00A75C66" w:rsidRPr="008A4DC4" w:rsidTr="00A75C66">
        <w:trPr>
          <w:trHeight w:val="430"/>
        </w:trPr>
        <w:tc>
          <w:tcPr>
            <w:tcW w:w="10098" w:type="dxa"/>
            <w:shd w:val="clear" w:color="auto" w:fill="F3F3F3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ENTENDERA COMO SATISFACTORIO: </w:t>
            </w:r>
            <w:r w:rsidRPr="00BF0279">
              <w:rPr>
                <w:rFonts w:ascii="Arial" w:hAnsi="Arial" w:cs="Arial"/>
                <w:bCs/>
              </w:rPr>
              <w:t xml:space="preserve">Las respuestas calificadas como </w:t>
            </w:r>
            <w:r>
              <w:rPr>
                <w:rFonts w:ascii="Arial" w:hAnsi="Arial" w:cs="Arial"/>
                <w:bCs/>
              </w:rPr>
              <w:t xml:space="preserve">excelente, </w:t>
            </w:r>
            <w:r w:rsidRPr="00BF0279">
              <w:rPr>
                <w:rFonts w:ascii="Arial" w:hAnsi="Arial" w:cs="Arial"/>
                <w:bCs/>
              </w:rPr>
              <w:t>bueno</w:t>
            </w:r>
            <w:r>
              <w:rPr>
                <w:rFonts w:ascii="Arial" w:hAnsi="Arial" w:cs="Arial"/>
                <w:bCs/>
              </w:rPr>
              <w:t xml:space="preserve"> y básico.</w:t>
            </w:r>
          </w:p>
        </w:tc>
      </w:tr>
      <w:tr w:rsidR="00A75C66" w:rsidRPr="008A4DC4" w:rsidTr="00A75C66">
        <w:trPr>
          <w:trHeight w:val="340"/>
        </w:trPr>
        <w:tc>
          <w:tcPr>
            <w:tcW w:w="10098" w:type="dxa"/>
            <w:vAlign w:val="center"/>
          </w:tcPr>
          <w:p w:rsidR="00A75C66" w:rsidRPr="008A4DC4" w:rsidRDefault="00A75C66" w:rsidP="00A75C66">
            <w:pPr>
              <w:jc w:val="both"/>
              <w:rPr>
                <w:rFonts w:ascii="Arial" w:hAnsi="Arial" w:cs="Arial"/>
              </w:rPr>
            </w:pPr>
            <w:r w:rsidRPr="00B247E5">
              <w:rPr>
                <w:rFonts w:ascii="Arial" w:hAnsi="Arial" w:cs="Arial"/>
                <w:b/>
              </w:rPr>
              <w:t>SE ENTENDERA COMO NO SATISFACTORIO</w:t>
            </w:r>
            <w:r>
              <w:rPr>
                <w:rFonts w:ascii="Arial" w:hAnsi="Arial" w:cs="Arial"/>
              </w:rPr>
              <w:t>: Las respuestas calificadas como regular y malo.</w:t>
            </w: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</w:tblGrid>
      <w:tr w:rsidR="00BC250E" w:rsidRPr="008A4DC4" w:rsidTr="00B22399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BC250E" w:rsidRPr="00982923" w:rsidRDefault="00BC250E" w:rsidP="00B223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ENCUESTA</w:t>
            </w:r>
          </w:p>
        </w:tc>
      </w:tr>
      <w:tr w:rsidR="00BC250E" w:rsidRPr="008A4DC4" w:rsidTr="0086405B">
        <w:tblPrEx>
          <w:tblCellMar>
            <w:left w:w="70" w:type="dxa"/>
            <w:right w:w="70" w:type="dxa"/>
          </w:tblCellMar>
        </w:tblPrEx>
        <w:tc>
          <w:tcPr>
            <w:tcW w:w="10144" w:type="dxa"/>
            <w:vAlign w:val="center"/>
          </w:tcPr>
          <w:p w:rsidR="00BC250E" w:rsidRPr="00BF0279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Default="004C3563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presentan los resultados de las encuestas de satisfacción del periodo comprendido entre </w:t>
            </w:r>
            <w:r w:rsidR="0059160E">
              <w:rPr>
                <w:rFonts w:ascii="Arial" w:hAnsi="Arial" w:cs="Arial"/>
              </w:rPr>
              <w:t>abril 01 y el 30 del mismo</w:t>
            </w:r>
            <w:r>
              <w:rPr>
                <w:rFonts w:ascii="Arial" w:hAnsi="Arial" w:cs="Arial"/>
              </w:rPr>
              <w:t>:</w:t>
            </w:r>
          </w:p>
          <w:p w:rsidR="004C3563" w:rsidRDefault="004C3563" w:rsidP="00B22399">
            <w:pPr>
              <w:pStyle w:val="Prrafodelista"/>
              <w:ind w:left="360"/>
              <w:jc w:val="both"/>
              <w:rPr>
                <w:rFonts w:ascii="Arial" w:hAnsi="Arial" w:cs="Arial"/>
              </w:rPr>
            </w:pPr>
          </w:p>
          <w:p w:rsidR="004C3563" w:rsidRDefault="004C3563" w:rsidP="004C35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atenciones realizadas durante el mes de abril de la Personería fueron un total de </w:t>
            </w:r>
            <w:r w:rsidRPr="0059160E">
              <w:rPr>
                <w:rFonts w:ascii="Arial" w:hAnsi="Arial" w:cs="Arial"/>
                <w:b/>
              </w:rPr>
              <w:t>575</w:t>
            </w:r>
            <w:r>
              <w:rPr>
                <w:rFonts w:ascii="Arial" w:hAnsi="Arial" w:cs="Arial"/>
              </w:rPr>
              <w:t xml:space="preserve"> discriminadas por delegaturas </w:t>
            </w:r>
            <w:r w:rsidR="0059160E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>:</w:t>
            </w:r>
          </w:p>
          <w:p w:rsidR="004C3563" w:rsidRDefault="004C3563" w:rsidP="004C3563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8760" w:type="dxa"/>
              <w:tblInd w:w="5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1900"/>
              <w:gridCol w:w="1680"/>
              <w:gridCol w:w="1200"/>
              <w:gridCol w:w="1540"/>
            </w:tblGrid>
            <w:tr w:rsidR="0086405B" w:rsidRPr="0086405B" w:rsidTr="0086405B">
              <w:trPr>
                <w:trHeight w:val="87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ENCUESTAS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No. Atenciones del Periodo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Encuesta a Realizar por muestra 15%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Encuestas realizadas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% Cumplimiento</w:t>
                  </w:r>
                </w:p>
              </w:tc>
            </w:tr>
            <w:tr w:rsidR="0086405B" w:rsidRPr="0086405B" w:rsidTr="0086405B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Atención Ciudadano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423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63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14,9</w:t>
                  </w:r>
                </w:p>
              </w:tc>
            </w:tr>
            <w:tr w:rsidR="0086405B" w:rsidRPr="0086405B" w:rsidTr="0086405B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Derechos Humanos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34,5</w:t>
                  </w:r>
                </w:p>
              </w:tc>
            </w:tr>
            <w:tr w:rsidR="0086405B" w:rsidRPr="0086405B" w:rsidTr="0086405B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Derechos Colectivos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9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55,6</w:t>
                  </w:r>
                </w:p>
              </w:tc>
            </w:tr>
            <w:tr w:rsidR="0086405B" w:rsidRPr="0086405B" w:rsidTr="0086405B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Vigilancia Administrativa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65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1,5</w:t>
                  </w:r>
                </w:p>
              </w:tc>
            </w:tr>
            <w:tr w:rsidR="0086405B" w:rsidRPr="0086405B" w:rsidTr="0086405B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Penal y Familia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23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s-CO" w:eastAsia="es-CO"/>
                    </w:rPr>
                    <w:t>30,4</w:t>
                  </w:r>
                </w:p>
              </w:tc>
            </w:tr>
            <w:tr w:rsidR="0086405B" w:rsidRPr="0086405B" w:rsidTr="0086405B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Totales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575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85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405B" w:rsidRPr="0086405B" w:rsidRDefault="0086405B" w:rsidP="0086405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</w:pPr>
                  <w:r w:rsidRPr="0086405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16,5</w:t>
                  </w:r>
                </w:p>
              </w:tc>
            </w:tr>
          </w:tbl>
          <w:p w:rsidR="004C3563" w:rsidRPr="0086405B" w:rsidRDefault="0086405B" w:rsidP="0086405B">
            <w:pPr>
              <w:jc w:val="center"/>
              <w:rPr>
                <w:rFonts w:ascii="Arial" w:hAnsi="Arial" w:cs="Arial"/>
                <w:sz w:val="20"/>
              </w:rPr>
            </w:pPr>
            <w:r w:rsidRPr="0086405B">
              <w:rPr>
                <w:rFonts w:ascii="Arial" w:hAnsi="Arial" w:cs="Arial"/>
                <w:sz w:val="20"/>
              </w:rPr>
              <w:t>Cuadro No. 1</w:t>
            </w:r>
          </w:p>
          <w:p w:rsidR="004C3563" w:rsidRPr="004C3563" w:rsidRDefault="0086405B" w:rsidP="004C356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101BBD55" wp14:editId="5E22FFE6">
                  <wp:extent cx="6029325" cy="2486025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BC250E" w:rsidRDefault="00A75C66" w:rsidP="00A75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Gráfica No. 1.</w:t>
            </w:r>
          </w:p>
          <w:p w:rsidR="00A75C66" w:rsidRDefault="00A75C66" w:rsidP="00A75C66">
            <w:pPr>
              <w:jc w:val="center"/>
              <w:rPr>
                <w:rFonts w:ascii="Arial" w:hAnsi="Arial" w:cs="Arial"/>
              </w:rPr>
            </w:pPr>
          </w:p>
          <w:p w:rsidR="00027681" w:rsidRDefault="00027681" w:rsidP="000276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Durante la vigencia del mes de abril de 2022, se realizaron un total de 575 Atenciones en la Personería de </w:t>
            </w:r>
            <w:r w:rsidR="0086216D">
              <w:rPr>
                <w:rFonts w:ascii="Arial" w:hAnsi="Arial" w:cs="Arial"/>
              </w:rPr>
              <w:t>Itagüí</w:t>
            </w:r>
            <w:r>
              <w:rPr>
                <w:rFonts w:ascii="Arial" w:hAnsi="Arial" w:cs="Arial"/>
              </w:rPr>
              <w:t xml:space="preserve">. El tamaño de la muestra a realizar equivale al 15%, es decir que se debían de haber realizado un total de 85 Encuestas de satisfacción durante el mes. </w:t>
            </w:r>
            <w:r>
              <w:rPr>
                <w:rFonts w:ascii="Arial" w:hAnsi="Arial" w:cs="Arial"/>
              </w:rPr>
              <w:t>Se realizaro</w:t>
            </w:r>
            <w:r>
              <w:rPr>
                <w:rFonts w:ascii="Arial" w:hAnsi="Arial" w:cs="Arial"/>
              </w:rPr>
              <w:t xml:space="preserve">n un total de 95 encuestas, superando el tamaño de la muestra el cual arrojó un </w:t>
            </w:r>
            <w:r w:rsidRPr="00027681">
              <w:rPr>
                <w:rFonts w:ascii="Arial" w:hAnsi="Arial" w:cs="Arial"/>
                <w:b/>
              </w:rPr>
              <w:t>16,5%</w:t>
            </w:r>
            <w:r w:rsidR="00A75C66">
              <w:rPr>
                <w:rFonts w:ascii="Arial" w:hAnsi="Arial" w:cs="Arial"/>
                <w:b/>
              </w:rPr>
              <w:t>.</w:t>
            </w:r>
          </w:p>
          <w:p w:rsidR="00027681" w:rsidRDefault="00027681" w:rsidP="00027681">
            <w:pPr>
              <w:rPr>
                <w:rFonts w:ascii="Arial" w:hAnsi="Arial" w:cs="Arial"/>
              </w:rPr>
            </w:pPr>
          </w:p>
          <w:p w:rsidR="00027681" w:rsidRDefault="00027681" w:rsidP="00027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Así mismo, s</w:t>
            </w:r>
            <w:r>
              <w:rPr>
                <w:rFonts w:ascii="Arial" w:hAnsi="Arial" w:cs="Arial"/>
              </w:rPr>
              <w:t xml:space="preserve">e puede evidenciar en </w:t>
            </w:r>
            <w:r>
              <w:rPr>
                <w:rFonts w:ascii="Arial" w:hAnsi="Arial" w:cs="Arial"/>
              </w:rPr>
              <w:t>la gráfica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No.1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 xml:space="preserve"> porcentaje de cumplimiento, por delegaturas se cumplió con el tamaño de la muestra, el cual equivale a un 15%</w:t>
            </w:r>
            <w:r>
              <w:rPr>
                <w:rFonts w:ascii="Arial" w:hAnsi="Arial" w:cs="Arial"/>
              </w:rPr>
              <w:t>.</w:t>
            </w:r>
          </w:p>
          <w:p w:rsidR="00027681" w:rsidRDefault="00027681" w:rsidP="00027681">
            <w:pPr>
              <w:rPr>
                <w:rFonts w:ascii="Arial" w:hAnsi="Arial" w:cs="Arial"/>
              </w:rPr>
            </w:pPr>
          </w:p>
          <w:p w:rsidR="00A75C66" w:rsidRDefault="00A75C66" w:rsidP="00027681">
            <w:pPr>
              <w:rPr>
                <w:rFonts w:ascii="Arial" w:hAnsi="Arial" w:cs="Arial"/>
              </w:rPr>
            </w:pPr>
          </w:p>
          <w:tbl>
            <w:tblPr>
              <w:tblpPr w:leftFromText="141" w:rightFromText="141" w:horzAnchor="margin" w:tblpY="-1272"/>
              <w:tblOverlap w:val="never"/>
              <w:tblW w:w="94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671"/>
              <w:gridCol w:w="2835"/>
              <w:gridCol w:w="1840"/>
              <w:gridCol w:w="1704"/>
            </w:tblGrid>
            <w:tr w:rsidR="00027681" w:rsidRPr="00027681" w:rsidTr="0086216D">
              <w:trPr>
                <w:trHeight w:val="1092"/>
              </w:trPr>
              <w:tc>
                <w:tcPr>
                  <w:tcW w:w="144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lastRenderedPageBreak/>
                    <w:t>N.</w:t>
                  </w:r>
                </w:p>
              </w:tc>
              <w:tc>
                <w:tcPr>
                  <w:tcW w:w="16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9BC2E6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 xml:space="preserve">Proceso(s): </w:t>
                  </w: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NIVEL DE SATISFACCIÓN</w:t>
                  </w:r>
                </w:p>
              </w:tc>
              <w:tc>
                <w:tcPr>
                  <w:tcW w:w="18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NIVEL DE INSATISFACCIÓN</w:t>
                  </w:r>
                </w:p>
              </w:tc>
              <w:tc>
                <w:tcPr>
                  <w:tcW w:w="170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9BC2E6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NS/NR</w:t>
                  </w:r>
                </w:p>
              </w:tc>
            </w:tr>
            <w:tr w:rsidR="00027681" w:rsidRPr="00027681" w:rsidTr="0086216D">
              <w:trPr>
                <w:trHeight w:val="428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99%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1%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027681" w:rsidRPr="00027681" w:rsidTr="0086216D">
              <w:trPr>
                <w:trHeight w:val="428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2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100%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027681" w:rsidRPr="00027681" w:rsidTr="0086216D">
              <w:trPr>
                <w:trHeight w:val="428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3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99%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1%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027681" w:rsidRPr="00027681" w:rsidTr="0086216D">
              <w:trPr>
                <w:trHeight w:val="449"/>
              </w:trPr>
              <w:tc>
                <w:tcPr>
                  <w:tcW w:w="144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CO" w:eastAsia="es-CO"/>
                    </w:rPr>
                    <w:t>4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Pregunta N° 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99%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1%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0%</w:t>
                  </w:r>
                </w:p>
              </w:tc>
            </w:tr>
            <w:tr w:rsidR="00027681" w:rsidRPr="00027681" w:rsidTr="0086216D">
              <w:trPr>
                <w:trHeight w:val="471"/>
              </w:trPr>
              <w:tc>
                <w:tcPr>
                  <w:tcW w:w="14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PROMEDIO TOTAL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99%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1%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027681" w:rsidRPr="00027681" w:rsidRDefault="00027681" w:rsidP="00027681">
                  <w:pPr>
                    <w:jc w:val="center"/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</w:pPr>
                  <w:r w:rsidRPr="00027681">
                    <w:rPr>
                      <w:rFonts w:ascii="Arial" w:hAnsi="Arial" w:cs="Arial"/>
                      <w:b/>
                      <w:bCs/>
                      <w:lang w:val="es-CO" w:eastAsia="es-CO"/>
                    </w:rPr>
                    <w:t>0%</w:t>
                  </w:r>
                </w:p>
              </w:tc>
            </w:tr>
          </w:tbl>
          <w:p w:rsidR="00027681" w:rsidRDefault="00027681" w:rsidP="00027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Cuadro No. 2</w:t>
            </w:r>
          </w:p>
          <w:p w:rsidR="00027681" w:rsidRDefault="00027681" w:rsidP="00027681">
            <w:pPr>
              <w:jc w:val="center"/>
              <w:rPr>
                <w:rFonts w:ascii="Arial" w:hAnsi="Arial" w:cs="Arial"/>
              </w:rPr>
            </w:pPr>
          </w:p>
          <w:p w:rsidR="00027681" w:rsidRDefault="00027681" w:rsidP="000276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cuadro No. 2 nos muestra el nivel de satisfacción de los usuarios en términos generales (consolidado delegaturas)</w:t>
            </w:r>
            <w:r w:rsidR="0059160E">
              <w:rPr>
                <w:rFonts w:ascii="Arial" w:hAnsi="Arial" w:cs="Arial"/>
              </w:rPr>
              <w:t xml:space="preserve">, el cual arrojó un 99%, </w:t>
            </w:r>
            <w:r>
              <w:rPr>
                <w:rFonts w:ascii="Arial" w:hAnsi="Arial" w:cs="Arial"/>
              </w:rPr>
              <w:t>con respecto a la meta estipulada en un 95%</w:t>
            </w:r>
            <w:r w:rsidR="0059160E">
              <w:rPr>
                <w:rFonts w:ascii="Arial" w:hAnsi="Arial" w:cs="Arial"/>
              </w:rPr>
              <w:t>.</w:t>
            </w: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027681" w:rsidRDefault="00BC250E" w:rsidP="00B22399">
            <w:pPr>
              <w:rPr>
                <w:rFonts w:ascii="Arial" w:hAnsi="Arial" w:cs="Arial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  <w:r w:rsidR="0059160E">
              <w:rPr>
                <w:rFonts w:ascii="Arial" w:hAnsi="Arial" w:cs="Arial"/>
                <w:b/>
                <w:u w:val="single"/>
              </w:rPr>
              <w:t xml:space="preserve"> </w:t>
            </w:r>
            <w:r w:rsidR="00027681">
              <w:rPr>
                <w:rFonts w:ascii="Arial" w:hAnsi="Arial" w:cs="Arial"/>
              </w:rPr>
              <w:t>La delegatura de vigilancia a pesar de que no recibe atención al usuario realizó algunas encuestas de satisfacción.</w:t>
            </w:r>
          </w:p>
          <w:p w:rsidR="00C16C80" w:rsidRPr="00C16C80" w:rsidRDefault="00C16C80" w:rsidP="00C16C80">
            <w:pPr>
              <w:jc w:val="both"/>
              <w:rPr>
                <w:rFonts w:ascii="Arial" w:hAnsi="Arial" w:cs="Arial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C250E" w:rsidRDefault="00BC250E" w:rsidP="00B22399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  <w:r w:rsidR="00027681">
              <w:rPr>
                <w:rFonts w:ascii="Arial" w:hAnsi="Arial" w:cs="Arial"/>
              </w:rPr>
              <w:t xml:space="preserve"> Se debe continuar fortaleciendo en cada delegatura la concientización sobre la importancia de las encuestas de satisfacción de las </w:t>
            </w:r>
            <w:r w:rsidR="0059160E">
              <w:rPr>
                <w:rFonts w:ascii="Arial" w:hAnsi="Arial" w:cs="Arial"/>
              </w:rPr>
              <w:t>atenciones</w:t>
            </w:r>
            <w:r w:rsidR="00027681">
              <w:rPr>
                <w:rFonts w:ascii="Arial" w:hAnsi="Arial" w:cs="Arial"/>
              </w:rPr>
              <w:t xml:space="preserve"> a los usuarios dentro de la entidad.</w:t>
            </w:r>
          </w:p>
          <w:p w:rsidR="00C16C80" w:rsidRDefault="00C16C80" w:rsidP="00B22399">
            <w:pPr>
              <w:jc w:val="both"/>
              <w:rPr>
                <w:rFonts w:ascii="Arial" w:hAnsi="Arial" w:cs="Arial"/>
              </w:rPr>
            </w:pPr>
          </w:p>
          <w:p w:rsidR="00BC250E" w:rsidRPr="00FB30C5" w:rsidRDefault="00BC250E" w:rsidP="00B2239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Conclusiones: </w:t>
            </w:r>
            <w:bookmarkStart w:id="0" w:name="_GoBack"/>
            <w:bookmarkEnd w:id="0"/>
          </w:p>
          <w:p w:rsidR="00BC250E" w:rsidRDefault="00BC250E" w:rsidP="00B22399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MX" w:eastAsia="es-MX"/>
              </w:rPr>
              <w:t>______________________</w:t>
            </w:r>
          </w:p>
          <w:p w:rsidR="00BC250E" w:rsidRPr="00982923" w:rsidRDefault="00BC250E" w:rsidP="00B22399">
            <w:pPr>
              <w:ind w:left="360"/>
              <w:rPr>
                <w:rFonts w:ascii="Arial" w:hAnsi="Arial" w:cs="Arial"/>
                <w:lang w:val="es-MX" w:eastAsia="es-MX"/>
              </w:rPr>
            </w:pPr>
          </w:p>
          <w:p w:rsidR="00BC250E" w:rsidRPr="00982923" w:rsidRDefault="00BC250E" w:rsidP="0086216D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  <w:r w:rsidRPr="005264E0">
              <w:rPr>
                <w:rFonts w:ascii="Arial" w:hAnsi="Arial"/>
                <w:sz w:val="22"/>
                <w:szCs w:val="22"/>
              </w:rPr>
              <w:t xml:space="preserve">Anexos: </w:t>
            </w:r>
            <w:r w:rsidR="0086216D">
              <w:rPr>
                <w:rFonts w:ascii="Arial" w:hAnsi="Arial"/>
                <w:sz w:val="22"/>
                <w:szCs w:val="22"/>
              </w:rPr>
              <w:t xml:space="preserve">Archivo </w:t>
            </w:r>
            <w:proofErr w:type="spellStart"/>
            <w:r w:rsidR="0086216D">
              <w:rPr>
                <w:rFonts w:ascii="Arial" w:hAnsi="Arial"/>
                <w:sz w:val="22"/>
                <w:szCs w:val="22"/>
              </w:rPr>
              <w:t>excel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de tabulación, de formato encuesta de satisfacción del ciudadano.</w:t>
            </w:r>
          </w:p>
        </w:tc>
      </w:tr>
    </w:tbl>
    <w:p w:rsidR="00BC250E" w:rsidRPr="008A4DC4" w:rsidRDefault="00BC250E" w:rsidP="005E4F62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CB28CB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DF" w:rsidRDefault="00C15CDF" w:rsidP="00CD4FA5">
      <w:r>
        <w:separator/>
      </w:r>
    </w:p>
  </w:endnote>
  <w:endnote w:type="continuationSeparator" w:id="0">
    <w:p w:rsidR="00C15CDF" w:rsidRDefault="00C15CDF" w:rsidP="00CD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CB28CB" w:rsidRPr="00E25F48" w:rsidTr="008F0985">
      <w:tc>
        <w:tcPr>
          <w:tcW w:w="579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9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B28CB" w:rsidRPr="00E25F48" w:rsidRDefault="00CB28CB" w:rsidP="008F0985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10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22399" w:rsidRPr="008A4DC4" w:rsidRDefault="00B22399" w:rsidP="00603020">
    <w:pPr>
      <w:pStyle w:val="Piedepgina"/>
      <w:jc w:val="righ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99" w:rsidRPr="008A4DC4" w:rsidRDefault="00B22399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 w:rsidR="0086216D">
      <w:rPr>
        <w:rFonts w:ascii="Arial" w:hAnsi="Arial" w:cs="Arial"/>
        <w:noProof/>
        <w:sz w:val="22"/>
        <w:szCs w:val="22"/>
      </w:rPr>
      <w:t>4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DF" w:rsidRDefault="00C15CDF" w:rsidP="00CD4FA5">
      <w:r>
        <w:separator/>
      </w:r>
    </w:p>
  </w:footnote>
  <w:footnote w:type="continuationSeparator" w:id="0">
    <w:p w:rsidR="00C15CDF" w:rsidRDefault="00C15CDF" w:rsidP="00CD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2"/>
      <w:gridCol w:w="4511"/>
      <w:gridCol w:w="2723"/>
    </w:tblGrid>
    <w:tr w:rsidR="00B22399" w:rsidTr="009C6724">
      <w:trPr>
        <w:cantSplit/>
        <w:trHeight w:val="565"/>
      </w:trPr>
      <w:tc>
        <w:tcPr>
          <w:tcW w:w="2862" w:type="dxa"/>
          <w:vMerge w:val="restart"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  <w:r w:rsidRPr="00E221A2">
            <w:rPr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B22399" w:rsidRPr="00AF13AC" w:rsidRDefault="00B22399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ENCUESTA DE SATISFACCIÓN</w:t>
          </w:r>
        </w:p>
      </w:tc>
      <w:tc>
        <w:tcPr>
          <w:tcW w:w="2723" w:type="dxa"/>
          <w:vAlign w:val="center"/>
        </w:tcPr>
        <w:p w:rsidR="00B22399" w:rsidRPr="009C6724" w:rsidRDefault="00B22399" w:rsidP="0005781F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9C6724">
            <w:rPr>
              <w:rFonts w:ascii="Arial" w:hAnsi="Arial" w:cs="Arial"/>
              <w:b/>
              <w:sz w:val="20"/>
              <w:szCs w:val="20"/>
            </w:rPr>
            <w:t>: FEM -06</w:t>
          </w:r>
        </w:p>
      </w:tc>
    </w:tr>
    <w:tr w:rsidR="00B22399" w:rsidTr="009C6724">
      <w:trPr>
        <w:cantSplit/>
        <w:trHeight w:val="559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04</w:t>
          </w:r>
        </w:p>
      </w:tc>
    </w:tr>
    <w:tr w:rsidR="00B22399" w:rsidTr="009C6724">
      <w:trPr>
        <w:cantSplit/>
        <w:trHeight w:val="553"/>
      </w:trPr>
      <w:tc>
        <w:tcPr>
          <w:tcW w:w="2862" w:type="dxa"/>
          <w:vMerge/>
          <w:vAlign w:val="center"/>
        </w:tcPr>
        <w:p w:rsidR="00B22399" w:rsidRDefault="00B22399" w:rsidP="00B2239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B22399" w:rsidRPr="00AF13AC" w:rsidRDefault="00B22399" w:rsidP="00B22399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B22399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C6724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9C6724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</w:t>
          </w:r>
        </w:p>
        <w:p w:rsidR="00B22399" w:rsidRPr="009C6724" w:rsidRDefault="00B22399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106632" w:rsidRDefault="00B22399">
    <w:pPr>
      <w:pStyle w:val="Encabezado"/>
      <w:rPr>
        <w:lang w:val="es-CO"/>
      </w:rPr>
    </w:pPr>
  </w:p>
  <w:p w:rsidR="00B22399" w:rsidRDefault="00B223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702"/>
      <w:gridCol w:w="2417"/>
    </w:tblGrid>
    <w:tr w:rsidR="00B22399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B22399" w:rsidRDefault="00B22399" w:rsidP="003E0C9C">
          <w:pPr>
            <w:pStyle w:val="Encabezado"/>
            <w:rPr>
              <w:b/>
              <w:bCs/>
            </w:rPr>
          </w:pPr>
        </w:p>
        <w:p w:rsidR="00B22399" w:rsidRPr="006C48FB" w:rsidRDefault="00B22399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B22399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B22399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B22399" w:rsidRDefault="00B22399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B22399" w:rsidRPr="00B87E29" w:rsidRDefault="00B22399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Default="00B22399">
    <w:pPr>
      <w:pStyle w:val="Encabezado"/>
      <w:rPr>
        <w:lang w:val="es-CO"/>
      </w:rPr>
    </w:pPr>
  </w:p>
  <w:p w:rsidR="00B22399" w:rsidRPr="00363132" w:rsidRDefault="00B22399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376A98"/>
    <w:multiLevelType w:val="hybridMultilevel"/>
    <w:tmpl w:val="916A1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3CFD"/>
    <w:rsid w:val="00025C91"/>
    <w:rsid w:val="00027681"/>
    <w:rsid w:val="00032658"/>
    <w:rsid w:val="00032D8C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5781F"/>
    <w:rsid w:val="00060D64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5BFC"/>
    <w:rsid w:val="000B092C"/>
    <w:rsid w:val="000B3B1C"/>
    <w:rsid w:val="000B6025"/>
    <w:rsid w:val="000B6734"/>
    <w:rsid w:val="000B7B8B"/>
    <w:rsid w:val="000C26E9"/>
    <w:rsid w:val="000C294E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5C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4340"/>
    <w:rsid w:val="001D5362"/>
    <w:rsid w:val="001E3ACC"/>
    <w:rsid w:val="00202748"/>
    <w:rsid w:val="0020798E"/>
    <w:rsid w:val="00210580"/>
    <w:rsid w:val="00223673"/>
    <w:rsid w:val="00225E80"/>
    <w:rsid w:val="00226CEA"/>
    <w:rsid w:val="002301E7"/>
    <w:rsid w:val="002432F2"/>
    <w:rsid w:val="0024518C"/>
    <w:rsid w:val="00251076"/>
    <w:rsid w:val="002519C7"/>
    <w:rsid w:val="00253092"/>
    <w:rsid w:val="0025560F"/>
    <w:rsid w:val="00256FE0"/>
    <w:rsid w:val="00264EB2"/>
    <w:rsid w:val="002714A2"/>
    <w:rsid w:val="00273DDE"/>
    <w:rsid w:val="00282B7C"/>
    <w:rsid w:val="002859E0"/>
    <w:rsid w:val="0029694D"/>
    <w:rsid w:val="002A091C"/>
    <w:rsid w:val="002A118F"/>
    <w:rsid w:val="002A1CDE"/>
    <w:rsid w:val="002A1F99"/>
    <w:rsid w:val="002B20A1"/>
    <w:rsid w:val="002B2D77"/>
    <w:rsid w:val="002B611A"/>
    <w:rsid w:val="002B6841"/>
    <w:rsid w:val="002B6F4A"/>
    <w:rsid w:val="002B78D5"/>
    <w:rsid w:val="002C7450"/>
    <w:rsid w:val="002D4E9B"/>
    <w:rsid w:val="002D7A2C"/>
    <w:rsid w:val="002F03B0"/>
    <w:rsid w:val="002F045A"/>
    <w:rsid w:val="002F1998"/>
    <w:rsid w:val="002F4846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60CB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1A56"/>
    <w:rsid w:val="00482B71"/>
    <w:rsid w:val="0048628E"/>
    <w:rsid w:val="0049116E"/>
    <w:rsid w:val="00496E1A"/>
    <w:rsid w:val="004A023C"/>
    <w:rsid w:val="004A252D"/>
    <w:rsid w:val="004A3738"/>
    <w:rsid w:val="004A5828"/>
    <w:rsid w:val="004B0343"/>
    <w:rsid w:val="004B272F"/>
    <w:rsid w:val="004B5F38"/>
    <w:rsid w:val="004C147D"/>
    <w:rsid w:val="004C3563"/>
    <w:rsid w:val="004C4EED"/>
    <w:rsid w:val="004D0006"/>
    <w:rsid w:val="004D0FCF"/>
    <w:rsid w:val="004D2F5D"/>
    <w:rsid w:val="004D3457"/>
    <w:rsid w:val="004D60F0"/>
    <w:rsid w:val="004D6AE4"/>
    <w:rsid w:val="004E06C2"/>
    <w:rsid w:val="004F11B8"/>
    <w:rsid w:val="004F5DFD"/>
    <w:rsid w:val="004F6ED9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160E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0F94"/>
    <w:rsid w:val="005E1D68"/>
    <w:rsid w:val="005E30CA"/>
    <w:rsid w:val="005E4F62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5ADE"/>
    <w:rsid w:val="006D6DB0"/>
    <w:rsid w:val="006D7348"/>
    <w:rsid w:val="006E3B97"/>
    <w:rsid w:val="006E44CD"/>
    <w:rsid w:val="006E46FB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B12B4"/>
    <w:rsid w:val="007B364B"/>
    <w:rsid w:val="007B621B"/>
    <w:rsid w:val="007C77F3"/>
    <w:rsid w:val="007D75CF"/>
    <w:rsid w:val="007E2B03"/>
    <w:rsid w:val="007E6864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216D"/>
    <w:rsid w:val="0086405B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F3"/>
    <w:rsid w:val="008C4333"/>
    <w:rsid w:val="008D5B6A"/>
    <w:rsid w:val="008E49F5"/>
    <w:rsid w:val="008E4A83"/>
    <w:rsid w:val="008F18CA"/>
    <w:rsid w:val="008F1BF5"/>
    <w:rsid w:val="008F566C"/>
    <w:rsid w:val="0090022E"/>
    <w:rsid w:val="00901F07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0160"/>
    <w:rsid w:val="00953D2F"/>
    <w:rsid w:val="009608CA"/>
    <w:rsid w:val="00963C23"/>
    <w:rsid w:val="009720CB"/>
    <w:rsid w:val="00972DDE"/>
    <w:rsid w:val="009746EA"/>
    <w:rsid w:val="00982923"/>
    <w:rsid w:val="00985DD9"/>
    <w:rsid w:val="00995D9F"/>
    <w:rsid w:val="00996363"/>
    <w:rsid w:val="0099710C"/>
    <w:rsid w:val="009A7036"/>
    <w:rsid w:val="009B28C7"/>
    <w:rsid w:val="009B2E6C"/>
    <w:rsid w:val="009B48A4"/>
    <w:rsid w:val="009B5BB3"/>
    <w:rsid w:val="009B70E9"/>
    <w:rsid w:val="009C5398"/>
    <w:rsid w:val="009C6253"/>
    <w:rsid w:val="009C6724"/>
    <w:rsid w:val="009D6DD2"/>
    <w:rsid w:val="009E187E"/>
    <w:rsid w:val="009E2177"/>
    <w:rsid w:val="009E370C"/>
    <w:rsid w:val="009E5601"/>
    <w:rsid w:val="009F2C90"/>
    <w:rsid w:val="009F3C4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5157"/>
    <w:rsid w:val="00A37212"/>
    <w:rsid w:val="00A4656A"/>
    <w:rsid w:val="00A47DE5"/>
    <w:rsid w:val="00A54262"/>
    <w:rsid w:val="00A5690D"/>
    <w:rsid w:val="00A61870"/>
    <w:rsid w:val="00A62FA5"/>
    <w:rsid w:val="00A65EEB"/>
    <w:rsid w:val="00A71742"/>
    <w:rsid w:val="00A72736"/>
    <w:rsid w:val="00A73DE3"/>
    <w:rsid w:val="00A7525C"/>
    <w:rsid w:val="00A75C66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4207"/>
    <w:rsid w:val="00B1499A"/>
    <w:rsid w:val="00B177C8"/>
    <w:rsid w:val="00B20815"/>
    <w:rsid w:val="00B20C4F"/>
    <w:rsid w:val="00B21D12"/>
    <w:rsid w:val="00B22399"/>
    <w:rsid w:val="00B22D15"/>
    <w:rsid w:val="00B23AAE"/>
    <w:rsid w:val="00B247E5"/>
    <w:rsid w:val="00B24AAD"/>
    <w:rsid w:val="00B261D1"/>
    <w:rsid w:val="00B33D26"/>
    <w:rsid w:val="00B37916"/>
    <w:rsid w:val="00B41582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64A2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5CDF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6116"/>
    <w:rsid w:val="00C74036"/>
    <w:rsid w:val="00C7759A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1039"/>
    <w:rsid w:val="00CA5395"/>
    <w:rsid w:val="00CA54A7"/>
    <w:rsid w:val="00CA55A3"/>
    <w:rsid w:val="00CA71E6"/>
    <w:rsid w:val="00CB1F24"/>
    <w:rsid w:val="00CB28CB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E1B21"/>
    <w:rsid w:val="00CE7A67"/>
    <w:rsid w:val="00CF18E2"/>
    <w:rsid w:val="00CF1F69"/>
    <w:rsid w:val="00D0034E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1308"/>
    <w:rsid w:val="00D92361"/>
    <w:rsid w:val="00D95E67"/>
    <w:rsid w:val="00DA345D"/>
    <w:rsid w:val="00DB13C6"/>
    <w:rsid w:val="00DB17CB"/>
    <w:rsid w:val="00DB239B"/>
    <w:rsid w:val="00DC0F88"/>
    <w:rsid w:val="00DC171F"/>
    <w:rsid w:val="00DC1D45"/>
    <w:rsid w:val="00DC4B89"/>
    <w:rsid w:val="00DF3C8C"/>
    <w:rsid w:val="00E00D1F"/>
    <w:rsid w:val="00E05415"/>
    <w:rsid w:val="00E05B40"/>
    <w:rsid w:val="00E05E45"/>
    <w:rsid w:val="00E0751B"/>
    <w:rsid w:val="00E12672"/>
    <w:rsid w:val="00E221A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196F"/>
    <w:rsid w:val="00FA3528"/>
    <w:rsid w:val="00FA4C70"/>
    <w:rsid w:val="00FA4F40"/>
    <w:rsid w:val="00FA5DCC"/>
    <w:rsid w:val="00FB30C5"/>
    <w:rsid w:val="00FB5A8E"/>
    <w:rsid w:val="00FB7FC0"/>
    <w:rsid w:val="00FC1CD6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63B32662-C637-46D8-8297-001AC88F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99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% Cumplimiento x Delegaturas mes de Abril-2022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Hoja1!$D$11</c:f>
              <c:strCache>
                <c:ptCount val="1"/>
                <c:pt idx="0">
                  <c:v>% Cumplimiento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Hoja1!$C$12:$C$17</c:f>
              <c:strCache>
                <c:ptCount val="6"/>
                <c:pt idx="0">
                  <c:v>Atención Ciudadano</c:v>
                </c:pt>
                <c:pt idx="1">
                  <c:v>Derechos Humanos</c:v>
                </c:pt>
                <c:pt idx="2">
                  <c:v>Derechos Colectivos</c:v>
                </c:pt>
                <c:pt idx="3">
                  <c:v>Vigilancia Administrativa</c:v>
                </c:pt>
                <c:pt idx="4">
                  <c:v>Penal y Familia</c:v>
                </c:pt>
                <c:pt idx="5">
                  <c:v>Totales</c:v>
                </c:pt>
              </c:strCache>
            </c:strRef>
          </c:cat>
          <c:val>
            <c:numRef>
              <c:f>Hoja1!$D$12:$D$17</c:f>
              <c:numCache>
                <c:formatCode>0.0</c:formatCode>
                <c:ptCount val="6"/>
                <c:pt idx="0">
                  <c:v>14.9</c:v>
                </c:pt>
                <c:pt idx="1">
                  <c:v>34.5</c:v>
                </c:pt>
                <c:pt idx="2">
                  <c:v>55.6</c:v>
                </c:pt>
                <c:pt idx="3">
                  <c:v>1.5</c:v>
                </c:pt>
                <c:pt idx="4">
                  <c:v>30.4</c:v>
                </c:pt>
                <c:pt idx="5">
                  <c:v>16.5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83760096"/>
        <c:axId val="283758528"/>
      </c:barChart>
      <c:catAx>
        <c:axId val="28376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CO"/>
          </a:p>
        </c:txPr>
        <c:crossAx val="283758528"/>
        <c:crosses val="autoZero"/>
        <c:auto val="1"/>
        <c:lblAlgn val="ctr"/>
        <c:lblOffset val="100"/>
        <c:noMultiLvlLbl val="0"/>
      </c:catAx>
      <c:valAx>
        <c:axId val="28375852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28376009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9D60-936E-4E9E-B58C-A329E123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claudiagomez</dc:creator>
  <cp:keywords/>
  <dc:description/>
  <cp:lastModifiedBy>Luis Fernando Gaviria Lopez</cp:lastModifiedBy>
  <cp:revision>3</cp:revision>
  <cp:lastPrinted>2022-07-12T20:37:00Z</cp:lastPrinted>
  <dcterms:created xsi:type="dcterms:W3CDTF">2022-07-12T20:29:00Z</dcterms:created>
  <dcterms:modified xsi:type="dcterms:W3CDTF">2022-07-12T20:38:00Z</dcterms:modified>
</cp:coreProperties>
</file>