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0333A9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Jefe Control Interno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0333A9" w:rsidP="000333A9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Comité Coordinador de Control Interno</w:t>
            </w:r>
          </w:p>
        </w:tc>
        <w:tc>
          <w:tcPr>
            <w:tcW w:w="1304" w:type="dxa"/>
            <w:vAlign w:val="center"/>
          </w:tcPr>
          <w:p w:rsidR="002F4F8E" w:rsidRPr="001A0273" w:rsidRDefault="000333A9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165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9D763B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X</w:t>
            </w: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0333A9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898" w:type="dxa"/>
            <w:vAlign w:val="center"/>
          </w:tcPr>
          <w:p w:rsidR="002F4F8E" w:rsidRPr="001A0273" w:rsidRDefault="000333A9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07</w:t>
            </w:r>
          </w:p>
        </w:tc>
        <w:tc>
          <w:tcPr>
            <w:tcW w:w="900" w:type="dxa"/>
            <w:vAlign w:val="center"/>
          </w:tcPr>
          <w:p w:rsidR="00BB7786" w:rsidRPr="001A0273" w:rsidRDefault="000333A9" w:rsidP="00BB778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0333A9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Personería</w:t>
            </w:r>
          </w:p>
        </w:tc>
        <w:tc>
          <w:tcPr>
            <w:tcW w:w="1032" w:type="dxa"/>
            <w:vAlign w:val="center"/>
          </w:tcPr>
          <w:p w:rsidR="002F4F8E" w:rsidRPr="001A0273" w:rsidRDefault="000333A9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7:00 am</w:t>
            </w: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0333A9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10:00 am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0333A9">
        <w:trPr>
          <w:trHeight w:val="1475"/>
        </w:trPr>
        <w:tc>
          <w:tcPr>
            <w:tcW w:w="10092" w:type="dxa"/>
            <w:gridSpan w:val="11"/>
            <w:vAlign w:val="center"/>
          </w:tcPr>
          <w:p w:rsidR="00DD614B" w:rsidRDefault="000333A9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Asistencia</w:t>
            </w:r>
          </w:p>
          <w:p w:rsidR="000333A9" w:rsidRDefault="000333A9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publicaciones por Ley</w:t>
            </w:r>
          </w:p>
          <w:p w:rsidR="000333A9" w:rsidRDefault="000333A9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próxima encuesta del FURAG</w:t>
            </w:r>
          </w:p>
          <w:p w:rsidR="000333A9" w:rsidRDefault="000333A9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</w:t>
            </w:r>
            <w:r w:rsidR="006E7C31">
              <w:rPr>
                <w:rFonts w:ascii="Arial" w:hAnsi="Arial" w:cs="Arial"/>
              </w:rPr>
              <w:t>ación Evaluación del estado de c</w:t>
            </w:r>
            <w:r>
              <w:rPr>
                <w:rFonts w:ascii="Arial" w:hAnsi="Arial" w:cs="Arial"/>
              </w:rPr>
              <w:t>ontrol Interno del primer semestre</w:t>
            </w:r>
          </w:p>
          <w:p w:rsidR="000333A9" w:rsidRDefault="000333A9" w:rsidP="000333A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aprobación ampliación de plazo para el proceso de auditorías de control interno.</w:t>
            </w:r>
          </w:p>
          <w:p w:rsidR="00DF19B3" w:rsidRDefault="00DF19B3" w:rsidP="000333A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 al plan de mejoramiento enero a junio de 2023</w:t>
            </w:r>
          </w:p>
          <w:p w:rsidR="000333A9" w:rsidRPr="001A0273" w:rsidRDefault="000333A9" w:rsidP="000333A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Proposiciones y varios.  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C04646" w:rsidRPr="001A0273" w:rsidRDefault="007615FB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 xml:space="preserve">DESARROLLO </w:t>
            </w:r>
          </w:p>
        </w:tc>
      </w:tr>
    </w:tbl>
    <w:p w:rsidR="00DF19B3" w:rsidRDefault="00DF19B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DF19B3" w:rsidRDefault="00DF19B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B324BF" w:rsidP="00F0280D">
      <w:pPr>
        <w:spacing w:after="160" w:line="259" w:lineRule="auto"/>
        <w:rPr>
          <w:rFonts w:cs="Arial"/>
          <w:szCs w:val="24"/>
          <w:lang w:val="es-CO"/>
        </w:rPr>
      </w:pPr>
      <w:r>
        <w:rPr>
          <w:rFonts w:cs="Arial"/>
          <w:szCs w:val="24"/>
          <w:lang w:val="es-CO"/>
        </w:rPr>
        <w:t xml:space="preserve">Siendo  las 7 de la mañana se da inicio a la reunión conjunta de Comité  Coordinador de Control Interno y Comité Institucional de Gestión y Desempeño. </w:t>
      </w:r>
    </w:p>
    <w:p w:rsidR="00B324BF" w:rsidRDefault="00B324BF" w:rsidP="00B324BF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lang w:val="es-CO"/>
        </w:rPr>
      </w:pPr>
      <w:r w:rsidRPr="00B324BF">
        <w:rPr>
          <w:rFonts w:ascii="Arial" w:hAnsi="Arial" w:cs="Arial"/>
          <w:lang w:val="es-CO"/>
        </w:rPr>
        <w:t xml:space="preserve">Se cuenta con la asistencia de todos los líderes de la entidad; igualmente con la presencia del asesor de planeación, </w:t>
      </w:r>
      <w:r>
        <w:rPr>
          <w:rFonts w:ascii="Arial" w:hAnsi="Arial" w:cs="Arial"/>
          <w:lang w:val="es-CO"/>
        </w:rPr>
        <w:t>la persona encargada de apoyar la gestión de las comunicaciones y la servidora pública que apoya en la gestión del sistema de calidad. (se anexa listado de asistencia).</w:t>
      </w:r>
    </w:p>
    <w:p w:rsidR="00B324BF" w:rsidRPr="006E7C31" w:rsidRDefault="00B324BF" w:rsidP="00C44094">
      <w:pPr>
        <w:pStyle w:val="Prrafodelista"/>
        <w:numPr>
          <w:ilvl w:val="0"/>
          <w:numId w:val="10"/>
        </w:numPr>
        <w:spacing w:after="160" w:line="259" w:lineRule="auto"/>
        <w:ind w:right="49"/>
        <w:jc w:val="both"/>
      </w:pPr>
      <w:r w:rsidRPr="00C44094">
        <w:rPr>
          <w:rFonts w:ascii="Arial" w:hAnsi="Arial" w:cs="Arial"/>
          <w:lang w:val="es-CO"/>
        </w:rPr>
        <w:t xml:space="preserve">Se socializa al comité el </w:t>
      </w:r>
      <w:r w:rsidR="00C44094" w:rsidRPr="00C44094">
        <w:rPr>
          <w:rFonts w:ascii="Arial" w:hAnsi="Arial" w:cs="Arial"/>
          <w:lang w:val="es-CO"/>
        </w:rPr>
        <w:t xml:space="preserve">calendario de obligaciones legales y </w:t>
      </w:r>
      <w:r w:rsidR="006E7C31">
        <w:rPr>
          <w:rFonts w:ascii="Arial" w:hAnsi="Arial" w:cs="Arial"/>
          <w:lang w:val="es-CO"/>
        </w:rPr>
        <w:t xml:space="preserve"> administrativas (se anexa).</w:t>
      </w:r>
    </w:p>
    <w:p w:rsidR="006E7C31" w:rsidRPr="00DF19B3" w:rsidRDefault="006E7C31" w:rsidP="00C44094">
      <w:pPr>
        <w:pStyle w:val="Prrafodelista"/>
        <w:numPr>
          <w:ilvl w:val="0"/>
          <w:numId w:val="10"/>
        </w:numPr>
        <w:spacing w:after="160" w:line="259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  <w:lang w:val="es-CO"/>
        </w:rPr>
        <w:t xml:space="preserve">Se informa que ya se está </w:t>
      </w:r>
      <w:r w:rsidR="00C5007C">
        <w:rPr>
          <w:rFonts w:ascii="Arial" w:hAnsi="Arial" w:cs="Arial"/>
          <w:lang w:val="es-CO"/>
        </w:rPr>
        <w:t xml:space="preserve">en el proceso </w:t>
      </w:r>
      <w:proofErr w:type="gramStart"/>
      <w:r w:rsidR="00C5007C">
        <w:rPr>
          <w:rFonts w:ascii="Arial" w:hAnsi="Arial" w:cs="Arial"/>
          <w:lang w:val="es-CO"/>
        </w:rPr>
        <w:t xml:space="preserve">de </w:t>
      </w:r>
      <w:r>
        <w:rPr>
          <w:rFonts w:ascii="Arial" w:hAnsi="Arial" w:cs="Arial"/>
          <w:lang w:val="es-CO"/>
        </w:rPr>
        <w:t xml:space="preserve"> el</w:t>
      </w:r>
      <w:proofErr w:type="gramEnd"/>
      <w:r>
        <w:rPr>
          <w:rFonts w:ascii="Arial" w:hAnsi="Arial" w:cs="Arial"/>
          <w:lang w:val="es-CO"/>
        </w:rPr>
        <w:t xml:space="preserve"> diligenciamiento de la encuesta FURAG, los encargados serán el asesor de planeación y el jefe de control interno con la colaboración de todos los servidores públicos para llevar a feliz término dicha encuesta. </w:t>
      </w:r>
    </w:p>
    <w:p w:rsidR="00DF19B3" w:rsidRDefault="00DF19B3" w:rsidP="00DF19B3">
      <w:pPr>
        <w:spacing w:after="160" w:line="259" w:lineRule="auto"/>
        <w:ind w:right="49"/>
        <w:rPr>
          <w:rFonts w:cs="Arial"/>
        </w:rPr>
      </w:pPr>
    </w:p>
    <w:p w:rsidR="00DF19B3" w:rsidRDefault="00DF19B3" w:rsidP="00DF19B3">
      <w:pPr>
        <w:spacing w:after="160" w:line="259" w:lineRule="auto"/>
        <w:ind w:right="49"/>
        <w:rPr>
          <w:rFonts w:cs="Arial"/>
        </w:rPr>
      </w:pPr>
    </w:p>
    <w:p w:rsidR="00DF19B3" w:rsidRDefault="00DF19B3" w:rsidP="00DF19B3">
      <w:pPr>
        <w:spacing w:after="160" w:line="259" w:lineRule="auto"/>
        <w:ind w:right="49"/>
        <w:rPr>
          <w:rFonts w:cs="Arial"/>
        </w:rPr>
      </w:pPr>
    </w:p>
    <w:p w:rsidR="00DF19B3" w:rsidRPr="00DF19B3" w:rsidRDefault="00DF19B3" w:rsidP="00DF19B3">
      <w:pPr>
        <w:spacing w:after="160" w:line="259" w:lineRule="auto"/>
        <w:ind w:right="49"/>
        <w:rPr>
          <w:rFonts w:cs="Arial"/>
        </w:rPr>
      </w:pPr>
    </w:p>
    <w:p w:rsidR="006E7C31" w:rsidRDefault="006E7C31" w:rsidP="00C44094">
      <w:pPr>
        <w:pStyle w:val="Prrafodelista"/>
        <w:numPr>
          <w:ilvl w:val="0"/>
          <w:numId w:val="10"/>
        </w:numPr>
        <w:spacing w:after="160" w:line="259" w:lineRule="auto"/>
        <w:ind w:right="49"/>
        <w:jc w:val="both"/>
        <w:rPr>
          <w:rFonts w:ascii="Arial" w:hAnsi="Arial" w:cs="Arial"/>
        </w:rPr>
      </w:pPr>
      <w:r w:rsidRPr="006E7C31">
        <w:rPr>
          <w:rFonts w:ascii="Arial" w:hAnsi="Arial" w:cs="Arial"/>
        </w:rPr>
        <w:t>Se socializa  el formato de evaluación del estado de control interno del primer semestre</w:t>
      </w:r>
      <w:r>
        <w:rPr>
          <w:rFonts w:ascii="Arial" w:hAnsi="Arial" w:cs="Arial"/>
        </w:rPr>
        <w:t xml:space="preserve"> de la función pública, el cual también debe ser publicado por Ley en la sede electrónica. </w:t>
      </w:r>
    </w:p>
    <w:p w:rsidR="00DF19B3" w:rsidRDefault="00DF19B3" w:rsidP="00DF19B3">
      <w:pPr>
        <w:pStyle w:val="Prrafodelista"/>
        <w:spacing w:after="160" w:line="259" w:lineRule="auto"/>
        <w:ind w:left="360" w:right="49"/>
        <w:jc w:val="both"/>
        <w:rPr>
          <w:rFonts w:ascii="Arial" w:hAnsi="Arial" w:cs="Arial"/>
        </w:rPr>
      </w:pPr>
      <w:r>
        <w:rPr>
          <w:rFonts w:cs="Arial"/>
          <w:noProof/>
        </w:rPr>
        <w:drawing>
          <wp:inline distT="0" distB="0" distL="0" distR="0">
            <wp:extent cx="5972175" cy="2148145"/>
            <wp:effectExtent l="19050" t="0" r="952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B7B" w:rsidRPr="006E7C31" w:rsidRDefault="00DF19B3" w:rsidP="00F0280D">
      <w:pPr>
        <w:spacing w:after="160" w:line="259" w:lineRule="auto"/>
        <w:rPr>
          <w:rFonts w:cs="Arial"/>
          <w:szCs w:val="24"/>
          <w:lang w:val="es-CO"/>
        </w:rPr>
      </w:pPr>
      <w:r>
        <w:rPr>
          <w:rFonts w:cs="Arial"/>
          <w:noProof/>
          <w:szCs w:val="24"/>
        </w:rPr>
        <w:lastRenderedPageBreak/>
        <w:drawing>
          <wp:inline distT="0" distB="0" distL="0" distR="0">
            <wp:extent cx="5617210" cy="2305050"/>
            <wp:effectExtent l="1905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Cs w:val="24"/>
        </w:rPr>
        <w:drawing>
          <wp:inline distT="0" distB="0" distL="0" distR="0">
            <wp:extent cx="5870575" cy="451802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451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CFD" w:rsidRPr="007B612B" w:rsidRDefault="00DF19B3" w:rsidP="00350CFD">
      <w:pPr>
        <w:pStyle w:val="Prrafodelista"/>
        <w:numPr>
          <w:ilvl w:val="0"/>
          <w:numId w:val="10"/>
        </w:numPr>
        <w:spacing w:after="160" w:line="259" w:lineRule="auto"/>
        <w:ind w:right="49"/>
        <w:jc w:val="both"/>
        <w:rPr>
          <w:rFonts w:cs="Arial"/>
        </w:rPr>
      </w:pPr>
      <w:r w:rsidRPr="007B612B">
        <w:rPr>
          <w:rFonts w:ascii="Arial" w:hAnsi="Arial" w:cs="Arial"/>
        </w:rPr>
        <w:lastRenderedPageBreak/>
        <w:t>Se solicita al comité aprobación para</w:t>
      </w:r>
      <w:r w:rsidR="00950D67" w:rsidRPr="007B612B">
        <w:rPr>
          <w:rFonts w:ascii="Arial" w:hAnsi="Arial" w:cs="Arial"/>
        </w:rPr>
        <w:t xml:space="preserve"> medicar y</w:t>
      </w:r>
      <w:r w:rsidRPr="007B612B">
        <w:rPr>
          <w:rFonts w:ascii="Arial" w:hAnsi="Arial" w:cs="Arial"/>
        </w:rPr>
        <w:t xml:space="preserve"> extender</w:t>
      </w:r>
      <w:r w:rsidR="00950D67" w:rsidRPr="007B612B">
        <w:rPr>
          <w:rFonts w:ascii="Arial" w:hAnsi="Arial" w:cs="Arial"/>
        </w:rPr>
        <w:t xml:space="preserve"> plazo del </w:t>
      </w:r>
      <w:r w:rsidR="007B612B" w:rsidRPr="007B612B">
        <w:rPr>
          <w:rFonts w:ascii="Arial" w:hAnsi="Arial" w:cs="Arial"/>
        </w:rPr>
        <w:t xml:space="preserve">plan y </w:t>
      </w:r>
      <w:r w:rsidR="00950D67" w:rsidRPr="007B612B">
        <w:rPr>
          <w:rFonts w:ascii="Arial" w:hAnsi="Arial" w:cs="Arial"/>
        </w:rPr>
        <w:t>programa anual institucional de auditorías</w:t>
      </w:r>
      <w:r w:rsidRPr="007B612B">
        <w:rPr>
          <w:rFonts w:ascii="Arial" w:hAnsi="Arial" w:cs="Arial"/>
        </w:rPr>
        <w:t xml:space="preserve"> </w:t>
      </w:r>
      <w:r w:rsidR="00950D67" w:rsidRPr="007B612B">
        <w:rPr>
          <w:rFonts w:ascii="Arial" w:hAnsi="Arial" w:cs="Arial"/>
        </w:rPr>
        <w:t>“de Gestión y Procesos”</w:t>
      </w:r>
      <w:r w:rsidR="00350CFD" w:rsidRPr="007B612B">
        <w:rPr>
          <w:rFonts w:ascii="Arial" w:hAnsi="Arial" w:cs="Arial"/>
        </w:rPr>
        <w:t>, para ejecutar en la vigencia 2023</w:t>
      </w:r>
      <w:r w:rsidRPr="007B612B">
        <w:rPr>
          <w:rFonts w:ascii="Arial" w:hAnsi="Arial" w:cs="Arial"/>
        </w:rPr>
        <w:t>, debido</w:t>
      </w:r>
      <w:r w:rsidR="00350CFD" w:rsidRPr="007B612B">
        <w:rPr>
          <w:rFonts w:ascii="Arial" w:hAnsi="Arial" w:cs="Arial"/>
        </w:rPr>
        <w:t xml:space="preserve"> a que el nuevo Jefe de control interno se posesiono el 21 marzo el año 2023,  e</w:t>
      </w:r>
      <w:r w:rsidRPr="007B612B">
        <w:rPr>
          <w:rFonts w:ascii="Arial" w:hAnsi="Arial" w:cs="Arial"/>
        </w:rPr>
        <w:t>l alto volumen de trabajo en dicha oficina,</w:t>
      </w:r>
      <w:r w:rsidR="00350CFD" w:rsidRPr="007B612B">
        <w:rPr>
          <w:rFonts w:ascii="Arial" w:hAnsi="Arial" w:cs="Arial"/>
        </w:rPr>
        <w:t xml:space="preserve"> ya </w:t>
      </w:r>
      <w:r w:rsidRPr="007B612B">
        <w:rPr>
          <w:rFonts w:ascii="Arial" w:hAnsi="Arial" w:cs="Arial"/>
        </w:rPr>
        <w:t>que serían entonces hasta el mes de noviembre</w:t>
      </w:r>
      <w:r w:rsidR="00350CFD" w:rsidRPr="007B612B">
        <w:rPr>
          <w:rFonts w:ascii="Arial" w:hAnsi="Arial" w:cs="Arial"/>
        </w:rPr>
        <w:t xml:space="preserve"> del presente año 2023</w:t>
      </w:r>
      <w:r w:rsidRPr="007B612B">
        <w:rPr>
          <w:rFonts w:ascii="Arial" w:hAnsi="Arial" w:cs="Arial"/>
        </w:rPr>
        <w:t>.  (aprobado)</w:t>
      </w:r>
      <w:r w:rsidR="00350CFD" w:rsidRPr="007B612B">
        <w:rPr>
          <w:rFonts w:ascii="Arial" w:hAnsi="Arial" w:cs="Arial"/>
        </w:rPr>
        <w:t xml:space="preserve"> se anexa </w:t>
      </w:r>
      <w:r w:rsidR="007B612B">
        <w:rPr>
          <w:rFonts w:ascii="Arial" w:hAnsi="Arial" w:cs="Arial"/>
        </w:rPr>
        <w:t>plan y programa anual institucional de auditorías modificado.</w:t>
      </w:r>
    </w:p>
    <w:p w:rsidR="00A02B7B" w:rsidRPr="00B02816" w:rsidRDefault="00DF19B3" w:rsidP="00B02816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lang w:val="es-CO"/>
        </w:rPr>
      </w:pPr>
      <w:r w:rsidRPr="00B02816">
        <w:rPr>
          <w:rFonts w:ascii="Arial" w:hAnsi="Arial" w:cs="Arial"/>
          <w:lang w:val="es-CO"/>
        </w:rPr>
        <w:t>Se socializa el seguimiento al plan de mejoramiento de enero a junio de 2023</w:t>
      </w:r>
      <w:r w:rsidR="00B02816">
        <w:rPr>
          <w:rFonts w:ascii="Arial" w:hAnsi="Arial" w:cs="Arial"/>
          <w:lang w:val="es-CO"/>
        </w:rPr>
        <w:t>, y solicitan cierres a 44 acciones de mejoramiento. (aprobadas).</w:t>
      </w:r>
    </w:p>
    <w:p w:rsidR="00AD51A4" w:rsidRPr="001A0273" w:rsidRDefault="00AD51A4" w:rsidP="001E4D5B">
      <w:pPr>
        <w:jc w:val="center"/>
        <w:rPr>
          <w:rFonts w:cs="Arial"/>
          <w:b/>
          <w:szCs w:val="24"/>
          <w:lang w:val="es-CO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"/>
        <w:gridCol w:w="4293"/>
        <w:gridCol w:w="2552"/>
        <w:gridCol w:w="2254"/>
      </w:tblGrid>
      <w:tr w:rsidR="00AD51A4" w:rsidRPr="001A0273" w:rsidTr="000825A3">
        <w:trPr>
          <w:trHeight w:val="277"/>
          <w:jc w:val="center"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1A0273" w:rsidTr="000825A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C5007C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El plazo para diligenciar la encuesta furag vence 27 julio de 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C5007C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Jefe oficina de control interno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C5007C" w:rsidP="002F36EA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27/07/2023</w:t>
            </w:r>
          </w:p>
        </w:tc>
      </w:tr>
      <w:tr w:rsidR="0003656B" w:rsidRPr="001A0273" w:rsidTr="000825A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5007C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El programa de auditoría se amplían los términos de ejecución hasta el mes de noviembre del año 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5007C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Jefe oficina de control interno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950D67" w:rsidP="002F36EA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31/07</w:t>
            </w:r>
            <w:r w:rsidR="00C5007C">
              <w:rPr>
                <w:rFonts w:cs="Arial"/>
                <w:bCs/>
                <w:szCs w:val="24"/>
              </w:rPr>
              <w:t>/2023</w:t>
            </w:r>
          </w:p>
        </w:tc>
      </w:tr>
      <w:tr w:rsidR="0003656B" w:rsidRPr="001A0273" w:rsidTr="000825A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950D67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Modificar la Resolución  N° 021 de febrero de 2023 Por medio de la cual se adopta el plan y el programa anual de auditorías internas para la vigencia 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950D67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Jefe oficina de control interno y Asesor jurídico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950D67" w:rsidP="00950D67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31/07/2023</w:t>
            </w:r>
          </w:p>
        </w:tc>
      </w:tr>
    </w:tbl>
    <w:p w:rsidR="00AD51A4" w:rsidRPr="0035755F" w:rsidRDefault="00AD51A4" w:rsidP="0035755F">
      <w:pPr>
        <w:pStyle w:val="Prrafodelista"/>
        <w:numPr>
          <w:ilvl w:val="0"/>
          <w:numId w:val="12"/>
        </w:numPr>
        <w:rPr>
          <w:rFonts w:cs="Arial"/>
          <w:sz w:val="20"/>
        </w:rPr>
      </w:pPr>
      <w:r w:rsidRPr="0035755F">
        <w:rPr>
          <w:rFonts w:cs="Arial"/>
          <w:sz w:val="20"/>
        </w:rPr>
        <w:t>Anexo listado de asistencia</w:t>
      </w:r>
    </w:p>
    <w:p w:rsidR="007B612B" w:rsidRPr="0035755F" w:rsidRDefault="007B612B" w:rsidP="0035755F">
      <w:pPr>
        <w:pStyle w:val="Prrafodelista"/>
        <w:numPr>
          <w:ilvl w:val="0"/>
          <w:numId w:val="12"/>
        </w:numPr>
        <w:rPr>
          <w:rFonts w:cs="Arial"/>
          <w:sz w:val="20"/>
        </w:rPr>
      </w:pPr>
      <w:r w:rsidRPr="0035755F">
        <w:rPr>
          <w:rFonts w:cs="Arial"/>
          <w:sz w:val="20"/>
        </w:rPr>
        <w:t>Plan y programa anual institucional de auditorías (Actualizado)</w:t>
      </w:r>
    </w:p>
    <w:p w:rsidR="000825A3" w:rsidRPr="0035755F" w:rsidRDefault="007B612B" w:rsidP="0035755F">
      <w:pPr>
        <w:pStyle w:val="Prrafodelista"/>
        <w:numPr>
          <w:ilvl w:val="0"/>
          <w:numId w:val="12"/>
        </w:numPr>
        <w:rPr>
          <w:rFonts w:cs="Arial"/>
          <w:b/>
          <w:sz w:val="20"/>
          <w:lang w:val="es-CO"/>
        </w:rPr>
      </w:pPr>
      <w:r w:rsidRPr="0035755F">
        <w:rPr>
          <w:rFonts w:cs="Arial"/>
          <w:sz w:val="20"/>
        </w:rPr>
        <w:t xml:space="preserve">Modificación a resolución </w:t>
      </w:r>
      <w:r w:rsidRPr="0035755F">
        <w:rPr>
          <w:rFonts w:cs="Arial"/>
          <w:bCs/>
          <w:sz w:val="20"/>
        </w:rPr>
        <w:t>N° 021 de febrero de 2023 Por medio de la cual se adopta el plan y el programa anual de auditorías internas para la vigencia 2023</w:t>
      </w:r>
    </w:p>
    <w:p w:rsidR="000825A3" w:rsidRDefault="000825A3" w:rsidP="000825A3">
      <w:pPr>
        <w:jc w:val="left"/>
        <w:rPr>
          <w:rFonts w:cs="Arial"/>
          <w:sz w:val="20"/>
          <w:lang w:val="es-CO"/>
        </w:rPr>
      </w:pPr>
    </w:p>
    <w:p w:rsidR="0035755F" w:rsidRPr="0035755F" w:rsidRDefault="0035755F" w:rsidP="0035755F">
      <w:pPr>
        <w:jc w:val="left"/>
        <w:rPr>
          <w:rFonts w:cs="Arial"/>
          <w:sz w:val="20"/>
          <w:lang w:val="es-CO"/>
        </w:rPr>
      </w:pPr>
      <w:r w:rsidRPr="0035755F">
        <w:rPr>
          <w:rFonts w:cs="Arial"/>
          <w:sz w:val="20"/>
          <w:lang w:val="es-CO"/>
        </w:rPr>
        <w:t>Firmas</w:t>
      </w:r>
    </w:p>
    <w:p w:rsidR="0035755F" w:rsidRPr="0035755F" w:rsidRDefault="0035755F" w:rsidP="0035755F">
      <w:pPr>
        <w:jc w:val="left"/>
        <w:rPr>
          <w:rFonts w:cs="Arial"/>
          <w:sz w:val="20"/>
          <w:lang w:val="es-CO"/>
        </w:rPr>
      </w:pPr>
    </w:p>
    <w:p w:rsidR="0035755F" w:rsidRDefault="0035755F" w:rsidP="0035755F">
      <w:pPr>
        <w:jc w:val="left"/>
        <w:rPr>
          <w:rFonts w:cs="Arial"/>
          <w:sz w:val="20"/>
          <w:lang w:val="es-CO"/>
        </w:rPr>
      </w:pPr>
    </w:p>
    <w:p w:rsidR="0035755F" w:rsidRDefault="0041082A" w:rsidP="0035755F">
      <w:pPr>
        <w:jc w:val="left"/>
        <w:rPr>
          <w:rFonts w:cs="Arial"/>
          <w:sz w:val="20"/>
          <w:lang w:val="es-CO"/>
        </w:rPr>
      </w:pPr>
      <w:r w:rsidRPr="0041082A">
        <w:rPr>
          <w:rFonts w:cs="Arial"/>
          <w:sz w:val="20"/>
          <w:lang w:val="es-CO"/>
        </w:rPr>
        <w:drawing>
          <wp:inline distT="0" distB="0" distL="0" distR="0">
            <wp:extent cx="822198" cy="420624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779" cy="44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55F" w:rsidRDefault="0035755F" w:rsidP="0035755F">
      <w:pPr>
        <w:jc w:val="left"/>
        <w:rPr>
          <w:rFonts w:cs="Arial"/>
          <w:sz w:val="20"/>
          <w:lang w:val="es-CO"/>
        </w:rPr>
      </w:pPr>
    </w:p>
    <w:p w:rsidR="0035755F" w:rsidRPr="0035755F" w:rsidRDefault="0035755F" w:rsidP="0035755F">
      <w:pPr>
        <w:jc w:val="left"/>
        <w:rPr>
          <w:rFonts w:cs="Arial"/>
          <w:sz w:val="20"/>
          <w:lang w:val="es-CO"/>
        </w:rPr>
      </w:pPr>
      <w:r>
        <w:rPr>
          <w:rFonts w:cs="Arial"/>
          <w:sz w:val="20"/>
          <w:lang w:val="es-CO"/>
        </w:rPr>
        <w:t xml:space="preserve">ARLEY DE </w:t>
      </w:r>
      <w:r w:rsidRPr="0035755F">
        <w:rPr>
          <w:rFonts w:cs="Arial"/>
          <w:sz w:val="20"/>
          <w:lang w:val="es-CO"/>
        </w:rPr>
        <w:t>JESÚS RAMÍREZ PATIÑO</w:t>
      </w:r>
    </w:p>
    <w:p w:rsidR="0035755F" w:rsidRPr="0035755F" w:rsidRDefault="0035755F" w:rsidP="0035755F">
      <w:pPr>
        <w:jc w:val="left"/>
        <w:rPr>
          <w:rFonts w:cs="Arial"/>
          <w:sz w:val="20"/>
          <w:lang w:val="es-CO"/>
        </w:rPr>
      </w:pPr>
      <w:r w:rsidRPr="0035755F">
        <w:rPr>
          <w:rFonts w:cs="Arial"/>
          <w:sz w:val="20"/>
          <w:lang w:val="es-CO"/>
        </w:rPr>
        <w:t>Jefe Oficina de Control interno</w:t>
      </w:r>
    </w:p>
    <w:p w:rsidR="0035755F" w:rsidRPr="0035755F" w:rsidRDefault="0035755F" w:rsidP="0035755F">
      <w:pPr>
        <w:jc w:val="left"/>
        <w:rPr>
          <w:rFonts w:cs="Arial"/>
          <w:sz w:val="20"/>
          <w:lang w:val="es-CO"/>
        </w:rPr>
      </w:pPr>
    </w:p>
    <w:p w:rsidR="0035755F" w:rsidRPr="0035755F" w:rsidRDefault="0035755F" w:rsidP="0035755F">
      <w:pPr>
        <w:jc w:val="left"/>
        <w:rPr>
          <w:rFonts w:cs="Arial"/>
          <w:sz w:val="20"/>
          <w:lang w:val="es-CO"/>
        </w:rPr>
      </w:pPr>
      <w:r w:rsidRPr="0035755F">
        <w:rPr>
          <w:rFonts w:cs="Arial"/>
          <w:sz w:val="20"/>
          <w:lang w:val="es-CO"/>
        </w:rPr>
        <w:t>P/E: Diana María Mejía Toro-Asistente Provisional</w:t>
      </w:r>
    </w:p>
    <w:p w:rsidR="0035755F" w:rsidRPr="0035755F" w:rsidRDefault="0035755F" w:rsidP="0035755F">
      <w:pPr>
        <w:jc w:val="left"/>
        <w:rPr>
          <w:rFonts w:cs="Arial"/>
          <w:sz w:val="20"/>
          <w:lang w:val="es-CO"/>
        </w:rPr>
      </w:pPr>
      <w:r w:rsidRPr="0035755F">
        <w:rPr>
          <w:rFonts w:cs="Arial"/>
          <w:sz w:val="20"/>
          <w:lang w:val="es-CO"/>
        </w:rPr>
        <w:t>R/ Arley De Jesús Ramírez Patiño- Jefe Oficina de Control interno</w:t>
      </w:r>
    </w:p>
    <w:p w:rsidR="0035755F" w:rsidRDefault="0035755F" w:rsidP="000825A3">
      <w:pPr>
        <w:jc w:val="left"/>
        <w:rPr>
          <w:rFonts w:cs="Arial"/>
          <w:sz w:val="20"/>
          <w:lang w:val="es-CO"/>
        </w:rPr>
      </w:pPr>
    </w:p>
    <w:p w:rsidR="0035755F" w:rsidRPr="0035755F" w:rsidRDefault="0035755F" w:rsidP="000825A3">
      <w:pPr>
        <w:jc w:val="left"/>
        <w:rPr>
          <w:rFonts w:cs="Arial"/>
          <w:sz w:val="20"/>
          <w:lang w:val="es-CO"/>
        </w:rPr>
      </w:pPr>
    </w:p>
    <w:sectPr w:rsidR="0035755F" w:rsidRPr="0035755F" w:rsidSect="0061129D">
      <w:headerReference w:type="default" r:id="rId12"/>
      <w:footerReference w:type="default" r:id="rId13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D67" w:rsidRDefault="00950D67" w:rsidP="00C50F77">
      <w:r>
        <w:separator/>
      </w:r>
    </w:p>
  </w:endnote>
  <w:endnote w:type="continuationSeparator" w:id="0">
    <w:p w:rsidR="00950D67" w:rsidRDefault="00950D67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50D67" w:rsidRPr="00E25F48" w:rsidTr="007312C4">
      <w:tc>
        <w:tcPr>
          <w:tcW w:w="5796" w:type="dxa"/>
          <w:shd w:val="clear" w:color="auto" w:fill="auto"/>
        </w:tcPr>
        <w:p w:rsidR="00950D67" w:rsidRPr="00E25F48" w:rsidRDefault="00950D67" w:rsidP="007312C4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50D67" w:rsidRPr="00E25F48" w:rsidRDefault="00950D67" w:rsidP="007312C4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0D67" w:rsidRDefault="00950D67">
    <w:pPr>
      <w:pStyle w:val="Piedepgina"/>
    </w:pPr>
  </w:p>
  <w:p w:rsidR="00950D67" w:rsidRDefault="00950D67" w:rsidP="0061129D">
    <w:pPr>
      <w:pStyle w:val="Piedepgina"/>
      <w:ind w:left="-1134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D67" w:rsidRDefault="00950D67" w:rsidP="00C50F77">
      <w:r>
        <w:separator/>
      </w:r>
    </w:p>
  </w:footnote>
  <w:footnote w:type="continuationSeparator" w:id="0">
    <w:p w:rsidR="00950D67" w:rsidRDefault="00950D67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950D67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950D67" w:rsidRDefault="00950D67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950D67" w:rsidRPr="00AF13AC" w:rsidRDefault="00950D67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950D67" w:rsidRPr="00DA48EF" w:rsidRDefault="00950D67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950D67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950D67" w:rsidRDefault="00950D67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950D67" w:rsidRPr="00AF13AC" w:rsidRDefault="00950D67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950D67" w:rsidRPr="00DA48EF" w:rsidRDefault="00950D67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 04</w:t>
          </w:r>
        </w:p>
      </w:tc>
    </w:tr>
    <w:tr w:rsidR="00950D67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950D67" w:rsidRDefault="00950D67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950D67" w:rsidRPr="00AF13AC" w:rsidRDefault="00950D67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950D67" w:rsidRPr="00DA48EF" w:rsidRDefault="00950D67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>
            <w:rPr>
              <w:rFonts w:cs="Arial"/>
              <w:b/>
              <w:sz w:val="20"/>
            </w:rPr>
            <w:t>24/02/2022</w:t>
          </w:r>
        </w:p>
        <w:p w:rsidR="00950D67" w:rsidRPr="00DA48EF" w:rsidRDefault="00950D67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950D67" w:rsidRDefault="00950D67">
    <w:pPr>
      <w:pStyle w:val="Encabezado"/>
      <w:rPr>
        <w:noProof/>
        <w:lang w:eastAsia="es-CO"/>
      </w:rPr>
    </w:pPr>
  </w:p>
  <w:p w:rsidR="00950D67" w:rsidRDefault="00950D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94360"/>
    <w:multiLevelType w:val="hybridMultilevel"/>
    <w:tmpl w:val="2F02B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F5EE3"/>
    <w:multiLevelType w:val="hybridMultilevel"/>
    <w:tmpl w:val="7B4E061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F03C99"/>
    <w:multiLevelType w:val="hybridMultilevel"/>
    <w:tmpl w:val="79A891C4"/>
    <w:lvl w:ilvl="0" w:tplc="9DB23000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38C0054">
      <w:numFmt w:val="bullet"/>
      <w:lvlText w:val="•"/>
      <w:lvlJc w:val="left"/>
      <w:pPr>
        <w:ind w:left="732" w:hanging="358"/>
      </w:pPr>
      <w:rPr>
        <w:rFonts w:hint="default"/>
        <w:lang w:val="es-ES" w:eastAsia="en-US" w:bidi="ar-SA"/>
      </w:rPr>
    </w:lvl>
    <w:lvl w:ilvl="2" w:tplc="D67ABA76">
      <w:numFmt w:val="bullet"/>
      <w:lvlText w:val="•"/>
      <w:lvlJc w:val="left"/>
      <w:pPr>
        <w:ind w:left="964" w:hanging="358"/>
      </w:pPr>
      <w:rPr>
        <w:rFonts w:hint="default"/>
        <w:lang w:val="es-ES" w:eastAsia="en-US" w:bidi="ar-SA"/>
      </w:rPr>
    </w:lvl>
    <w:lvl w:ilvl="3" w:tplc="EF84256E">
      <w:numFmt w:val="bullet"/>
      <w:lvlText w:val="•"/>
      <w:lvlJc w:val="left"/>
      <w:pPr>
        <w:ind w:left="1196" w:hanging="358"/>
      </w:pPr>
      <w:rPr>
        <w:rFonts w:hint="default"/>
        <w:lang w:val="es-ES" w:eastAsia="en-US" w:bidi="ar-SA"/>
      </w:rPr>
    </w:lvl>
    <w:lvl w:ilvl="4" w:tplc="3E744DFA">
      <w:numFmt w:val="bullet"/>
      <w:lvlText w:val="•"/>
      <w:lvlJc w:val="left"/>
      <w:pPr>
        <w:ind w:left="1428" w:hanging="358"/>
      </w:pPr>
      <w:rPr>
        <w:rFonts w:hint="default"/>
        <w:lang w:val="es-ES" w:eastAsia="en-US" w:bidi="ar-SA"/>
      </w:rPr>
    </w:lvl>
    <w:lvl w:ilvl="5" w:tplc="DB922886">
      <w:numFmt w:val="bullet"/>
      <w:lvlText w:val="•"/>
      <w:lvlJc w:val="left"/>
      <w:pPr>
        <w:ind w:left="1661" w:hanging="358"/>
      </w:pPr>
      <w:rPr>
        <w:rFonts w:hint="default"/>
        <w:lang w:val="es-ES" w:eastAsia="en-US" w:bidi="ar-SA"/>
      </w:rPr>
    </w:lvl>
    <w:lvl w:ilvl="6" w:tplc="FAAAF174">
      <w:numFmt w:val="bullet"/>
      <w:lvlText w:val="•"/>
      <w:lvlJc w:val="left"/>
      <w:pPr>
        <w:ind w:left="1893" w:hanging="358"/>
      </w:pPr>
      <w:rPr>
        <w:rFonts w:hint="default"/>
        <w:lang w:val="es-ES" w:eastAsia="en-US" w:bidi="ar-SA"/>
      </w:rPr>
    </w:lvl>
    <w:lvl w:ilvl="7" w:tplc="B6B8280E">
      <w:numFmt w:val="bullet"/>
      <w:lvlText w:val="•"/>
      <w:lvlJc w:val="left"/>
      <w:pPr>
        <w:ind w:left="2125" w:hanging="358"/>
      </w:pPr>
      <w:rPr>
        <w:rFonts w:hint="default"/>
        <w:lang w:val="es-ES" w:eastAsia="en-US" w:bidi="ar-SA"/>
      </w:rPr>
    </w:lvl>
    <w:lvl w:ilvl="8" w:tplc="1B70FE4E">
      <w:numFmt w:val="bullet"/>
      <w:lvlText w:val="•"/>
      <w:lvlJc w:val="left"/>
      <w:pPr>
        <w:ind w:left="2357" w:hanging="358"/>
      </w:pPr>
      <w:rPr>
        <w:rFonts w:hint="default"/>
        <w:lang w:val="es-ES" w:eastAsia="en-US" w:bidi="ar-SA"/>
      </w:rPr>
    </w:lvl>
  </w:abstractNum>
  <w:abstractNum w:abstractNumId="1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22760"/>
    <w:rsid w:val="000333A9"/>
    <w:rsid w:val="00034289"/>
    <w:rsid w:val="0003656B"/>
    <w:rsid w:val="00036672"/>
    <w:rsid w:val="000407B4"/>
    <w:rsid w:val="000454F9"/>
    <w:rsid w:val="0005711D"/>
    <w:rsid w:val="000619F3"/>
    <w:rsid w:val="0007388D"/>
    <w:rsid w:val="00081FD2"/>
    <w:rsid w:val="000825A3"/>
    <w:rsid w:val="000B00C6"/>
    <w:rsid w:val="000C6553"/>
    <w:rsid w:val="00121A22"/>
    <w:rsid w:val="00153F05"/>
    <w:rsid w:val="001803DB"/>
    <w:rsid w:val="00190858"/>
    <w:rsid w:val="00197A8D"/>
    <w:rsid w:val="001A0273"/>
    <w:rsid w:val="001A162F"/>
    <w:rsid w:val="001A519B"/>
    <w:rsid w:val="001B2FEC"/>
    <w:rsid w:val="001E4D5B"/>
    <w:rsid w:val="002112C6"/>
    <w:rsid w:val="002113D6"/>
    <w:rsid w:val="00211E1A"/>
    <w:rsid w:val="00240043"/>
    <w:rsid w:val="00251F6F"/>
    <w:rsid w:val="00255711"/>
    <w:rsid w:val="00290499"/>
    <w:rsid w:val="00294135"/>
    <w:rsid w:val="00294711"/>
    <w:rsid w:val="00295DF3"/>
    <w:rsid w:val="002B70B9"/>
    <w:rsid w:val="002C4A31"/>
    <w:rsid w:val="002D532E"/>
    <w:rsid w:val="002E4885"/>
    <w:rsid w:val="002F0F7A"/>
    <w:rsid w:val="002F36EA"/>
    <w:rsid w:val="002F4F8E"/>
    <w:rsid w:val="00310D8F"/>
    <w:rsid w:val="003300C0"/>
    <w:rsid w:val="00342DBD"/>
    <w:rsid w:val="00350CFD"/>
    <w:rsid w:val="0035755F"/>
    <w:rsid w:val="003962B1"/>
    <w:rsid w:val="003D17ED"/>
    <w:rsid w:val="003E30FD"/>
    <w:rsid w:val="003E3E2E"/>
    <w:rsid w:val="00402765"/>
    <w:rsid w:val="00402E6F"/>
    <w:rsid w:val="0041082A"/>
    <w:rsid w:val="00423267"/>
    <w:rsid w:val="00465388"/>
    <w:rsid w:val="0047120B"/>
    <w:rsid w:val="0047390C"/>
    <w:rsid w:val="00477716"/>
    <w:rsid w:val="004A2137"/>
    <w:rsid w:val="004A7906"/>
    <w:rsid w:val="004B6781"/>
    <w:rsid w:val="004E3DAC"/>
    <w:rsid w:val="00523A39"/>
    <w:rsid w:val="00534938"/>
    <w:rsid w:val="00554A76"/>
    <w:rsid w:val="00560534"/>
    <w:rsid w:val="005E700B"/>
    <w:rsid w:val="0061129D"/>
    <w:rsid w:val="0062238D"/>
    <w:rsid w:val="006512A5"/>
    <w:rsid w:val="00676819"/>
    <w:rsid w:val="006A083E"/>
    <w:rsid w:val="006B06B6"/>
    <w:rsid w:val="006B7F30"/>
    <w:rsid w:val="006E7C31"/>
    <w:rsid w:val="006F5721"/>
    <w:rsid w:val="00701D59"/>
    <w:rsid w:val="00724669"/>
    <w:rsid w:val="007312C4"/>
    <w:rsid w:val="00746ED0"/>
    <w:rsid w:val="007615FB"/>
    <w:rsid w:val="007A0305"/>
    <w:rsid w:val="007B1580"/>
    <w:rsid w:val="007B612B"/>
    <w:rsid w:val="007D69C5"/>
    <w:rsid w:val="007F092F"/>
    <w:rsid w:val="007F7EC0"/>
    <w:rsid w:val="00810D6F"/>
    <w:rsid w:val="00831D78"/>
    <w:rsid w:val="00876650"/>
    <w:rsid w:val="00903D7B"/>
    <w:rsid w:val="00941944"/>
    <w:rsid w:val="00950D67"/>
    <w:rsid w:val="00983B79"/>
    <w:rsid w:val="009A326D"/>
    <w:rsid w:val="009D763B"/>
    <w:rsid w:val="009F4BE3"/>
    <w:rsid w:val="00A02B7B"/>
    <w:rsid w:val="00A07762"/>
    <w:rsid w:val="00A40113"/>
    <w:rsid w:val="00AC421C"/>
    <w:rsid w:val="00AD51A4"/>
    <w:rsid w:val="00AD60CD"/>
    <w:rsid w:val="00AD63D1"/>
    <w:rsid w:val="00B02816"/>
    <w:rsid w:val="00B231BE"/>
    <w:rsid w:val="00B324BF"/>
    <w:rsid w:val="00B50CA1"/>
    <w:rsid w:val="00B569BF"/>
    <w:rsid w:val="00B84CA8"/>
    <w:rsid w:val="00BB4231"/>
    <w:rsid w:val="00BB44B7"/>
    <w:rsid w:val="00BB7786"/>
    <w:rsid w:val="00BC1932"/>
    <w:rsid w:val="00BE3AE4"/>
    <w:rsid w:val="00BF0A12"/>
    <w:rsid w:val="00C04646"/>
    <w:rsid w:val="00C10C51"/>
    <w:rsid w:val="00C307E4"/>
    <w:rsid w:val="00C44094"/>
    <w:rsid w:val="00C464EF"/>
    <w:rsid w:val="00C5007C"/>
    <w:rsid w:val="00C50F77"/>
    <w:rsid w:val="00C7323B"/>
    <w:rsid w:val="00C903F5"/>
    <w:rsid w:val="00C9555D"/>
    <w:rsid w:val="00CB2C97"/>
    <w:rsid w:val="00CD4AF3"/>
    <w:rsid w:val="00D3658D"/>
    <w:rsid w:val="00DA16F9"/>
    <w:rsid w:val="00DB6C12"/>
    <w:rsid w:val="00DD207D"/>
    <w:rsid w:val="00DD614B"/>
    <w:rsid w:val="00DF19B3"/>
    <w:rsid w:val="00E317F1"/>
    <w:rsid w:val="00E34221"/>
    <w:rsid w:val="00E474D4"/>
    <w:rsid w:val="00E63A22"/>
    <w:rsid w:val="00E85A65"/>
    <w:rsid w:val="00E87244"/>
    <w:rsid w:val="00EA19DC"/>
    <w:rsid w:val="00EA32C1"/>
    <w:rsid w:val="00ED54CB"/>
    <w:rsid w:val="00F0280D"/>
    <w:rsid w:val="00F03473"/>
    <w:rsid w:val="00F03E1C"/>
    <w:rsid w:val="00F37233"/>
    <w:rsid w:val="00F53319"/>
    <w:rsid w:val="00FA3413"/>
    <w:rsid w:val="00FB67B6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B324BF"/>
    <w:pPr>
      <w:widowControl w:val="0"/>
      <w:autoSpaceDE w:val="0"/>
      <w:autoSpaceDN w:val="0"/>
      <w:jc w:val="left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24BF"/>
    <w:rPr>
      <w:rFonts w:ascii="Verdana" w:eastAsia="Verdana" w:hAnsi="Verdana" w:cs="Verdana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2F0F7A"/>
    <w:pPr>
      <w:widowControl w:val="0"/>
      <w:autoSpaceDE w:val="0"/>
      <w:autoSpaceDN w:val="0"/>
      <w:spacing w:before="26"/>
      <w:jc w:val="left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1CE8-DB74-4406-8616-F0EBDA3B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9</cp:revision>
  <cp:lastPrinted>2022-04-27T13:12:00Z</cp:lastPrinted>
  <dcterms:created xsi:type="dcterms:W3CDTF">2023-07-13T12:57:00Z</dcterms:created>
  <dcterms:modified xsi:type="dcterms:W3CDTF">2023-08-22T14:46:00Z</dcterms:modified>
</cp:coreProperties>
</file>