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Default="002D098B" w:rsidP="00863572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5322"/>
      </w:tblGrid>
      <w:tr w:rsidR="00101355" w:rsidRPr="00101355" w:rsidTr="002E0519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3C385D" w:rsidRPr="00101355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5322" w:type="dxa"/>
          </w:tcPr>
          <w:p w:rsidR="003C385D" w:rsidRPr="00101355" w:rsidRDefault="00E30FD9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VIGILANCIA ADMINISTRATIVA Y DE LA CONDUCTA OFICIAL</w:t>
            </w:r>
          </w:p>
        </w:tc>
      </w:tr>
    </w:tbl>
    <w:p w:rsidR="003D471C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3"/>
        <w:gridCol w:w="5370"/>
      </w:tblGrid>
      <w:tr w:rsidR="00671DEC" w:rsidRPr="00C42FBA" w:rsidTr="002E0519">
        <w:tc>
          <w:tcPr>
            <w:tcW w:w="4803" w:type="dxa"/>
            <w:shd w:val="clear" w:color="auto" w:fill="D9D9D9"/>
          </w:tcPr>
          <w:p w:rsidR="00671DEC" w:rsidRPr="00C42FBA" w:rsidRDefault="00AA0BF4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S</w:t>
            </w:r>
          </w:p>
        </w:tc>
        <w:tc>
          <w:tcPr>
            <w:tcW w:w="5370" w:type="dxa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AUDITORIA</w:t>
            </w:r>
          </w:p>
        </w:tc>
      </w:tr>
      <w:tr w:rsidR="00671DEC" w:rsidRPr="00C42FBA" w:rsidTr="002E0519">
        <w:tc>
          <w:tcPr>
            <w:tcW w:w="4803" w:type="dxa"/>
            <w:shd w:val="clear" w:color="auto" w:fill="auto"/>
          </w:tcPr>
          <w:p w:rsidR="00671DEC" w:rsidRDefault="00543F4D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43F4D">
              <w:rPr>
                <w:rFonts w:ascii="Arial" w:hAnsi="Arial" w:cs="Arial"/>
                <w:sz w:val="24"/>
                <w:szCs w:val="24"/>
                <w:lang w:val="es-CO"/>
              </w:rPr>
              <w:t>PVC-0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4 Vigilancia administrativa</w:t>
            </w:r>
          </w:p>
          <w:p w:rsidR="00543F4D" w:rsidRPr="00C42FBA" w:rsidRDefault="00543F4D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43F4D">
              <w:rPr>
                <w:rFonts w:ascii="Arial" w:hAnsi="Arial" w:cs="Arial"/>
                <w:sz w:val="24"/>
                <w:szCs w:val="24"/>
                <w:lang w:val="es-CO"/>
              </w:rPr>
              <w:t>PVC-05-Proceso-Verbal-Disciplinario.</w:t>
            </w:r>
          </w:p>
        </w:tc>
        <w:tc>
          <w:tcPr>
            <w:tcW w:w="5370" w:type="dxa"/>
            <w:shd w:val="clear" w:color="auto" w:fill="auto"/>
          </w:tcPr>
          <w:p w:rsidR="00671DEC" w:rsidRPr="00C42FBA" w:rsidRDefault="008324A0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Diciembre</w:t>
            </w:r>
            <w:r w:rsidR="00F627FF">
              <w:rPr>
                <w:rFonts w:ascii="Arial" w:hAnsi="Arial" w:cs="Arial"/>
                <w:sz w:val="24"/>
                <w:szCs w:val="24"/>
                <w:lang w:val="es-CO"/>
              </w:rPr>
              <w:t xml:space="preserve"> 2023</w:t>
            </w:r>
          </w:p>
        </w:tc>
      </w:tr>
      <w:tr w:rsidR="00671DEC" w:rsidRPr="00C42FBA" w:rsidTr="002E0519">
        <w:tc>
          <w:tcPr>
            <w:tcW w:w="4803" w:type="dxa"/>
            <w:shd w:val="clear" w:color="auto" w:fill="D9D9D9"/>
          </w:tcPr>
          <w:p w:rsidR="00671DEC" w:rsidRPr="00C42FBA" w:rsidRDefault="00F50967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5370" w:type="dxa"/>
            <w:shd w:val="clear" w:color="auto" w:fill="D9D9D9"/>
          </w:tcPr>
          <w:p w:rsidR="00671DEC" w:rsidRPr="00C42FBA" w:rsidRDefault="00F50967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EQUIPO </w:t>
            </w:r>
            <w:r w:rsidR="003C385D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</w:t>
            </w:r>
          </w:p>
        </w:tc>
      </w:tr>
      <w:tr w:rsidR="00671DEC" w:rsidRPr="00C42FBA" w:rsidTr="002E0519">
        <w:tc>
          <w:tcPr>
            <w:tcW w:w="4803" w:type="dxa"/>
            <w:shd w:val="clear" w:color="auto" w:fill="auto"/>
          </w:tcPr>
          <w:p w:rsidR="00671DEC" w:rsidRDefault="00C80406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ARLEY DE JESÚS RAMÍREZ PATIÑO </w:t>
            </w:r>
          </w:p>
          <w:p w:rsidR="00E30FD9" w:rsidRPr="00C42FBA" w:rsidRDefault="00C80406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  <w:tc>
          <w:tcPr>
            <w:tcW w:w="5370" w:type="dxa"/>
            <w:shd w:val="clear" w:color="auto" w:fill="auto"/>
          </w:tcPr>
          <w:p w:rsidR="00543F4D" w:rsidRDefault="008324A0" w:rsidP="00543F4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ARLE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Y DE JESÚS RAMÍREZ PATIÑO </w:t>
            </w:r>
          </w:p>
          <w:p w:rsidR="00671DEC" w:rsidRPr="00C42FBA" w:rsidRDefault="00543F4D" w:rsidP="00543F4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</w:tr>
      <w:tr w:rsidR="00671DEC" w:rsidRPr="00C42FBA" w:rsidTr="002E0519">
        <w:tc>
          <w:tcPr>
            <w:tcW w:w="10173" w:type="dxa"/>
            <w:gridSpan w:val="2"/>
            <w:shd w:val="clear" w:color="auto" w:fill="D9D9D9"/>
          </w:tcPr>
          <w:p w:rsidR="00671DEC" w:rsidRPr="00F50967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F5096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C42FBA" w:rsidTr="002E0519">
        <w:tc>
          <w:tcPr>
            <w:tcW w:w="10173" w:type="dxa"/>
            <w:gridSpan w:val="2"/>
            <w:shd w:val="clear" w:color="auto" w:fill="auto"/>
          </w:tcPr>
          <w:p w:rsidR="00671DEC" w:rsidRPr="00E30FD9" w:rsidRDefault="00E30FD9" w:rsidP="00AA0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 xml:space="preserve">Delegado de Vigilancia Administrativa y su grupo de apoyo  </w:t>
            </w:r>
          </w:p>
        </w:tc>
      </w:tr>
    </w:tbl>
    <w:p w:rsidR="00671DEC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5"/>
        <w:gridCol w:w="6509"/>
        <w:gridCol w:w="2704"/>
      </w:tblGrid>
      <w:tr w:rsidR="00671DEC" w:rsidRPr="00C42FBA" w:rsidTr="003B22F4">
        <w:tc>
          <w:tcPr>
            <w:tcW w:w="1018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5B6833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AUDITORI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3B22F4">
        <w:tc>
          <w:tcPr>
            <w:tcW w:w="10182" w:type="dxa"/>
            <w:gridSpan w:val="4"/>
            <w:shd w:val="clear" w:color="auto" w:fill="auto"/>
          </w:tcPr>
          <w:p w:rsidR="00671DEC" w:rsidRDefault="00C80406" w:rsidP="00E30FD9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El proceso de auditoría abarca </w:t>
            </w:r>
            <w:r w:rsidR="00E30FD9" w:rsidRPr="00E30FD9">
              <w:rPr>
                <w:rFonts w:ascii="Arial" w:hAnsi="Arial" w:cs="Arial"/>
                <w:sz w:val="24"/>
                <w:szCs w:val="24"/>
                <w:lang w:val="es-CO"/>
              </w:rPr>
              <w:t>los procesos desarrollados en la delegatura de vigilancia administrativa y de la conducta oficial</w:t>
            </w:r>
            <w:r w:rsidR="00805003">
              <w:rPr>
                <w:rFonts w:ascii="Arial" w:hAnsi="Arial" w:cs="Arial"/>
                <w:sz w:val="24"/>
                <w:szCs w:val="24"/>
                <w:lang w:val="es-CO"/>
              </w:rPr>
              <w:t xml:space="preserve"> y</w:t>
            </w:r>
            <w:r w:rsidR="00E30FD9" w:rsidRPr="00E30FD9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805003"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el conjunto de los planes, métodos, principios, normas, procedimientos y mecanismos de verificación y evaluación adoptados por una entidad, con el fin de procurar que todas las actividades, operaciones y actuaciones, así como la administración de la información y los recursos, se realicen de acuerdo con las normas constitucionales y legales vigentes dentro de las políticas trazadas por la dirección y en atención a las metas u objetivos previstos.  el plan estratégico institucional 2022-2024;</w:t>
            </w:r>
          </w:p>
          <w:p w:rsidR="00E30FD9" w:rsidRPr="00C42FBA" w:rsidRDefault="00E30FD9" w:rsidP="00E30FD9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3B22F4">
        <w:tc>
          <w:tcPr>
            <w:tcW w:w="1018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AUDITORIA</w:t>
            </w:r>
          </w:p>
        </w:tc>
      </w:tr>
      <w:tr w:rsidR="00671DEC" w:rsidRPr="00C42FBA" w:rsidTr="003B22F4">
        <w:tc>
          <w:tcPr>
            <w:tcW w:w="10182" w:type="dxa"/>
            <w:gridSpan w:val="4"/>
            <w:shd w:val="clear" w:color="auto" w:fill="auto"/>
          </w:tcPr>
          <w:p w:rsidR="00E30FD9" w:rsidRPr="00E30FD9" w:rsidRDefault="00E30FD9" w:rsidP="00C8040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01919">
              <w:rPr>
                <w:rFonts w:ascii="Arial" w:hAnsi="Arial" w:cs="Arial"/>
                <w:sz w:val="24"/>
                <w:szCs w:val="24"/>
                <w:lang w:val="es-CO"/>
              </w:rPr>
              <w:t xml:space="preserve">El alcance de este </w:t>
            </w:r>
            <w:r w:rsidR="00C80406">
              <w:rPr>
                <w:rFonts w:ascii="Arial" w:hAnsi="Arial" w:cs="Arial"/>
                <w:sz w:val="24"/>
                <w:szCs w:val="24"/>
                <w:lang w:val="es-CO"/>
              </w:rPr>
              <w:t xml:space="preserve">ejercicio </w:t>
            </w:r>
            <w:r w:rsidRPr="00C01919">
              <w:rPr>
                <w:rFonts w:ascii="Arial" w:hAnsi="Arial" w:cs="Arial"/>
                <w:sz w:val="24"/>
                <w:szCs w:val="24"/>
                <w:lang w:val="es-CO"/>
              </w:rPr>
              <w:t>de au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di</w:t>
            </w:r>
            <w:r w:rsidRPr="00C01919">
              <w:rPr>
                <w:rFonts w:ascii="Arial" w:hAnsi="Arial" w:cs="Arial"/>
                <w:sz w:val="24"/>
                <w:szCs w:val="24"/>
                <w:lang w:val="es-CO"/>
              </w:rPr>
              <w:t>toría está orientado a revisar el cumplimiento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de la</w:t>
            </w:r>
            <w:r w:rsidR="00C80406">
              <w:rPr>
                <w:rFonts w:ascii="Arial" w:hAnsi="Arial" w:cs="Arial"/>
                <w:sz w:val="24"/>
                <w:szCs w:val="24"/>
                <w:lang w:val="es-CO"/>
              </w:rPr>
              <w:t xml:space="preserve"> normatividad  y demás documentos de referencia. </w:t>
            </w: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>Política y Objetivos de Calidad, Manual de Calidad, caracterización, procedimientos y documentos asociados al proceso,</w:t>
            </w:r>
            <w:r w:rsidRPr="00C01919">
              <w:rPr>
                <w:rFonts w:ascii="Arial" w:hAnsi="Arial" w:cs="Arial"/>
                <w:sz w:val="24"/>
                <w:szCs w:val="24"/>
                <w:lang w:val="es-CO"/>
              </w:rPr>
              <w:t>siclo PHVA (Planificar-Hacer-Verificar-Actuar)en los procesos de PVC 01 Tramite de Queja PVC 04 Vigilancia  administrativa</w:t>
            </w: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 xml:space="preserve"> reglamentación vigente, procedimientos y criterios definidos)</w:t>
            </w:r>
          </w:p>
          <w:p w:rsidR="00671DEC" w:rsidRPr="00C42FBA" w:rsidRDefault="00671DEC" w:rsidP="00E30FD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3B22F4">
        <w:tc>
          <w:tcPr>
            <w:tcW w:w="10182" w:type="dxa"/>
            <w:gridSpan w:val="4"/>
            <w:shd w:val="clear" w:color="auto" w:fill="D9D9D9"/>
          </w:tcPr>
          <w:p w:rsidR="00671DEC" w:rsidRPr="00C42FBA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</w:t>
            </w:r>
            <w:r w:rsidR="00E16085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CRITERIOS</w:t>
            </w:r>
            <w:r w:rsidR="00E16085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DE AUDITORIA)</w:t>
            </w:r>
          </w:p>
        </w:tc>
      </w:tr>
      <w:tr w:rsidR="00671DEC" w:rsidRPr="00C42FBA" w:rsidTr="003B22F4">
        <w:tc>
          <w:tcPr>
            <w:tcW w:w="10182" w:type="dxa"/>
            <w:gridSpan w:val="4"/>
            <w:shd w:val="clear" w:color="auto" w:fill="auto"/>
          </w:tcPr>
          <w:p w:rsidR="00671DEC" w:rsidRPr="00D67AA0" w:rsidRDefault="00C80406" w:rsidP="00AA0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sz w:val="24"/>
                <w:szCs w:val="24"/>
                <w:lang w:val="es-CO"/>
              </w:rPr>
              <w:t xml:space="preserve">Competencias de Ley 1952 de 2019 código general disciplinario que derogan la ley 734 de 2002 y algunas disposiciones de la ley 1474 de 2011, relacionadas con el derecho Disciplinario. y modificado por la Ley 2094 de 2021 </w:t>
            </w:r>
            <w:r w:rsidR="00766870" w:rsidRPr="00D67AA0">
              <w:rPr>
                <w:rFonts w:ascii="Arial" w:hAnsi="Arial" w:cs="Arial"/>
                <w:sz w:val="24"/>
                <w:szCs w:val="24"/>
                <w:lang w:val="es-CO"/>
              </w:rPr>
              <w:t>(Leyes, N</w:t>
            </w:r>
            <w:r w:rsidR="00D44765" w:rsidRPr="00D67AA0">
              <w:rPr>
                <w:rFonts w:ascii="Arial" w:hAnsi="Arial" w:cs="Arial"/>
                <w:sz w:val="24"/>
                <w:szCs w:val="24"/>
                <w:lang w:val="es-CO"/>
              </w:rPr>
              <w:t xml:space="preserve">ormas, ISO 9001-2015, MIPG </w:t>
            </w:r>
            <w:r w:rsidR="00766870" w:rsidRPr="00D67AA0">
              <w:rPr>
                <w:rFonts w:ascii="Arial" w:hAnsi="Arial" w:cs="Arial"/>
                <w:sz w:val="24"/>
                <w:szCs w:val="24"/>
                <w:lang w:val="es-CO"/>
              </w:rPr>
              <w:t>Política y Objetivos de Calidad, Manual de Calidad, caracterización, procedimientos y documentos asociados al proceso, reglamentación vigente, procedimientos, objetivo, alcance y criterios definidos)</w:t>
            </w: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3B22F4">
        <w:tc>
          <w:tcPr>
            <w:tcW w:w="10182" w:type="dxa"/>
            <w:gridSpan w:val="4"/>
            <w:shd w:val="clear" w:color="auto" w:fill="D9D9D9" w:themeFill="background1" w:themeFillShade="D9"/>
          </w:tcPr>
          <w:p w:rsidR="002C04CF" w:rsidRPr="002C04CF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2C04CF">
              <w:rPr>
                <w:rFonts w:ascii="Arial" w:hAnsi="Arial" w:cs="Arial"/>
                <w:b/>
                <w:sz w:val="24"/>
                <w:szCs w:val="24"/>
              </w:rPr>
              <w:lastRenderedPageBreak/>
              <w:t>RESUMEN DE LA AUDITORÍA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C04CF" w:rsidRPr="00C42FBA" w:rsidTr="003B22F4">
        <w:trPr>
          <w:trHeight w:val="992"/>
        </w:trPr>
        <w:tc>
          <w:tcPr>
            <w:tcW w:w="10182" w:type="dxa"/>
            <w:gridSpan w:val="4"/>
            <w:shd w:val="clear" w:color="auto" w:fill="auto"/>
          </w:tcPr>
          <w:p w:rsidR="003968B6" w:rsidRDefault="00E30FD9" w:rsidP="00E30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919">
              <w:rPr>
                <w:rFonts w:ascii="Arial" w:hAnsi="Arial" w:cs="Arial"/>
                <w:sz w:val="24"/>
                <w:szCs w:val="24"/>
              </w:rPr>
              <w:t xml:space="preserve">Siendo </w:t>
            </w:r>
            <w:r w:rsidR="004E45FA">
              <w:rPr>
                <w:rFonts w:ascii="Arial" w:hAnsi="Arial" w:cs="Arial"/>
                <w:sz w:val="24"/>
                <w:szCs w:val="24"/>
              </w:rPr>
              <w:t>las 7</w:t>
            </w:r>
            <w:r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4E45FA">
              <w:rPr>
                <w:rFonts w:ascii="Arial" w:hAnsi="Arial" w:cs="Arial"/>
                <w:sz w:val="24"/>
                <w:szCs w:val="24"/>
              </w:rPr>
              <w:t>am</w:t>
            </w:r>
            <w:r>
              <w:rPr>
                <w:rFonts w:ascii="Arial" w:hAnsi="Arial" w:cs="Arial"/>
                <w:sz w:val="24"/>
                <w:szCs w:val="24"/>
              </w:rPr>
              <w:t xml:space="preserve"> se da apertura a la auditoria se hace la presentación líder de auditoría Jefe de la Oficina de Control Interno</w:t>
            </w:r>
            <w:r w:rsidR="004E45F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se lee el plan de auditoría se explica el alcance y desarrollo de la misma la cual se informa que se realizara de manera presencial en la </w:t>
            </w:r>
            <w:r w:rsidRPr="00655251">
              <w:rPr>
                <w:rFonts w:ascii="Arial" w:hAnsi="Arial" w:cs="Arial"/>
                <w:sz w:val="24"/>
                <w:szCs w:val="24"/>
              </w:rPr>
              <w:t>oficina de la delegatur</w:t>
            </w:r>
            <w:r w:rsidR="004E45FA">
              <w:rPr>
                <w:rFonts w:ascii="Arial" w:hAnsi="Arial" w:cs="Arial"/>
                <w:sz w:val="24"/>
                <w:szCs w:val="24"/>
              </w:rPr>
              <w:t>a, se procede a dar lectura al</w:t>
            </w:r>
            <w:r w:rsidRPr="00655251">
              <w:rPr>
                <w:rFonts w:ascii="Arial" w:hAnsi="Arial" w:cs="Arial"/>
                <w:sz w:val="24"/>
                <w:szCs w:val="24"/>
              </w:rPr>
              <w:t xml:space="preserve"> programa de auditoría se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 hace hincapié que se trata de una auditoria </w:t>
            </w:r>
            <w:r w:rsidRPr="00655251">
              <w:rPr>
                <w:rFonts w:ascii="Arial" w:hAnsi="Arial" w:cs="Arial"/>
                <w:sz w:val="24"/>
                <w:szCs w:val="24"/>
              </w:rPr>
              <w:t>donde se realiza según el siclo PHVA, donde a través de un cuestionario se realizan una</w:t>
            </w:r>
            <w:r w:rsidR="004E45FA">
              <w:rPr>
                <w:rFonts w:ascii="Arial" w:hAnsi="Arial" w:cs="Arial"/>
                <w:sz w:val="24"/>
                <w:szCs w:val="24"/>
              </w:rPr>
              <w:t>s</w:t>
            </w:r>
            <w:r w:rsidRPr="00655251">
              <w:rPr>
                <w:rFonts w:ascii="Arial" w:hAnsi="Arial" w:cs="Arial"/>
                <w:sz w:val="24"/>
                <w:szCs w:val="24"/>
              </w:rPr>
              <w:t xml:space="preserve"> preguntas encaminadas a establecer la manera como los funcionarios en sus actividades le dan aplicación al trámite del proceso disciplinario, se indaga sobre los cinco procesos</w:t>
            </w:r>
            <w:r w:rsidR="003968B6">
              <w:rPr>
                <w:rFonts w:ascii="Arial" w:hAnsi="Arial" w:cs="Arial"/>
                <w:sz w:val="24"/>
                <w:szCs w:val="24"/>
              </w:rPr>
              <w:t xml:space="preserve"> (5) y (26) Formatos establecidos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 por</w:t>
            </w:r>
            <w:r w:rsidR="003968B6">
              <w:rPr>
                <w:rFonts w:ascii="Arial" w:hAnsi="Arial" w:cs="Arial"/>
                <w:sz w:val="24"/>
                <w:szCs w:val="24"/>
              </w:rPr>
              <w:t xml:space="preserve"> SGC; en especial </w:t>
            </w:r>
            <w:r w:rsidR="003968B6" w:rsidRPr="003968B6">
              <w:rPr>
                <w:rFonts w:ascii="Arial" w:hAnsi="Arial" w:cs="Arial"/>
                <w:sz w:val="24"/>
                <w:szCs w:val="24"/>
              </w:rPr>
              <w:t>PVC-02-Indagacion-Preliminar</w:t>
            </w:r>
            <w:r w:rsidR="003968B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3968B6" w:rsidRPr="003968B6">
              <w:rPr>
                <w:rFonts w:ascii="Arial" w:hAnsi="Arial" w:cs="Arial"/>
                <w:sz w:val="24"/>
                <w:szCs w:val="24"/>
              </w:rPr>
              <w:t>PVC-04 Vigilancia administrativa</w:t>
            </w:r>
            <w:r w:rsidR="003968B6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3968B6" w:rsidRPr="003968B6">
              <w:rPr>
                <w:rFonts w:ascii="Arial" w:hAnsi="Arial" w:cs="Arial"/>
                <w:sz w:val="24"/>
                <w:szCs w:val="24"/>
              </w:rPr>
              <w:t>PVC-05-Proceso-Verbal-Disciplinario</w:t>
            </w:r>
          </w:p>
          <w:p w:rsidR="003968B6" w:rsidRDefault="003968B6" w:rsidP="00E30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22F4" w:rsidRDefault="003B22F4" w:rsidP="00E30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 de la Dependencia</w:t>
            </w:r>
          </w:p>
          <w:p w:rsidR="003B22F4" w:rsidRDefault="003B22F4" w:rsidP="003B2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E30FD9">
              <w:rPr>
                <w:rFonts w:ascii="Arial" w:hAnsi="Arial" w:cs="Arial"/>
                <w:sz w:val="24"/>
                <w:szCs w:val="24"/>
              </w:rPr>
              <w:t xml:space="preserve">apa de procesos  </w:t>
            </w:r>
          </w:p>
          <w:p w:rsidR="003B22F4" w:rsidRDefault="003B22F4" w:rsidP="003B2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22F4" w:rsidRDefault="003B22F4" w:rsidP="003B22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0FD9">
              <w:rPr>
                <w:rFonts w:ascii="Arial" w:hAnsi="Arial" w:cs="Arial"/>
                <w:sz w:val="24"/>
                <w:szCs w:val="24"/>
              </w:rPr>
              <w:t xml:space="preserve">La vigilancia Administrativa y de la Conducta oficial forman parte del HACER procesos misionales de la Entidad, </w:t>
            </w:r>
          </w:p>
          <w:p w:rsidR="003B22F4" w:rsidRDefault="003B22F4" w:rsidP="003B2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4191000" cy="2247900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2F4" w:rsidRDefault="003B22F4" w:rsidP="003B2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22F4" w:rsidRPr="00E30FD9" w:rsidRDefault="003B22F4" w:rsidP="003B22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0FD9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2724D8">
              <w:rPr>
                <w:rFonts w:ascii="Arial" w:hAnsi="Arial" w:cs="Arial"/>
                <w:sz w:val="24"/>
                <w:szCs w:val="24"/>
              </w:rPr>
              <w:t>Delegatura de la Vigilancia Administrativa</w:t>
            </w:r>
            <w:r>
              <w:rPr>
                <w:rFonts w:ascii="Arial" w:hAnsi="Arial" w:cs="Arial"/>
                <w:sz w:val="24"/>
                <w:szCs w:val="24"/>
              </w:rPr>
              <w:t>, con la ob</w:t>
            </w:r>
            <w:r w:rsidRPr="00E30FD9">
              <w:rPr>
                <w:rFonts w:ascii="Arial" w:hAnsi="Arial" w:cs="Arial"/>
                <w:sz w:val="24"/>
                <w:szCs w:val="24"/>
              </w:rPr>
              <w:t>servación de la Conducta</w:t>
            </w:r>
            <w:r>
              <w:rPr>
                <w:rFonts w:ascii="Arial" w:hAnsi="Arial" w:cs="Arial"/>
                <w:sz w:val="24"/>
                <w:szCs w:val="24"/>
              </w:rPr>
              <w:t xml:space="preserve"> Oficial</w:t>
            </w:r>
            <w:r w:rsidRPr="00E30FD9">
              <w:rPr>
                <w:rFonts w:ascii="Arial" w:hAnsi="Arial" w:cs="Arial"/>
                <w:sz w:val="24"/>
                <w:szCs w:val="24"/>
              </w:rPr>
              <w:t xml:space="preserve"> del Servidor público, garantizando el control y la Mejora en la prestación de los servicios</w:t>
            </w:r>
            <w:r>
              <w:rPr>
                <w:rFonts w:ascii="Arial" w:hAnsi="Arial" w:cs="Arial"/>
                <w:sz w:val="24"/>
                <w:szCs w:val="24"/>
              </w:rPr>
              <w:t>, en perspectiva del PEI 2022-2024</w:t>
            </w:r>
            <w:r w:rsidR="00FF4CE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F4CEF" w:rsidRPr="00FF4CEF">
              <w:rPr>
                <w:rFonts w:ascii="Arial" w:hAnsi="Arial" w:cs="Arial"/>
                <w:sz w:val="24"/>
                <w:szCs w:val="24"/>
              </w:rPr>
              <w:t>Ejercer la función disciplinaria y de vigilancia administrativa,  de oficio o a solicitud de parte, sobre hechos relacionados con la conducta desplegada por los servidores públicos del orden municipal o sus entes descentralizados en ejercicio de sus funciones.</w:t>
            </w:r>
          </w:p>
          <w:p w:rsidR="003B22F4" w:rsidRDefault="003B22F4" w:rsidP="00E30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45FA" w:rsidRPr="004E45FA" w:rsidRDefault="003968B6" w:rsidP="004E45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 xml:space="preserve">e observa a través de las respuestas del líder del proceso y de su personal de apoyo que 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lastRenderedPageBreak/>
              <w:t xml:space="preserve">tienen conocimiento de </w:t>
            </w:r>
            <w:r w:rsidR="009C5757" w:rsidRPr="00655251">
              <w:rPr>
                <w:rFonts w:ascii="Arial" w:hAnsi="Arial" w:cs="Arial"/>
                <w:sz w:val="24"/>
                <w:szCs w:val="24"/>
              </w:rPr>
              <w:t>las carpetas dispuestas</w:t>
            </w:r>
            <w:r>
              <w:rPr>
                <w:rFonts w:ascii="Arial" w:hAnsi="Arial" w:cs="Arial"/>
                <w:sz w:val="24"/>
                <w:szCs w:val="24"/>
              </w:rPr>
              <w:t xml:space="preserve"> SGC vigencia 2023</w:t>
            </w:r>
            <w:r w:rsidR="004008F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E45FA">
              <w:rPr>
                <w:rFonts w:ascii="Arial" w:hAnsi="Arial" w:cs="Arial"/>
                <w:sz w:val="24"/>
                <w:szCs w:val="24"/>
              </w:rPr>
              <w:t>D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>e otro lado se indaga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5FA" w:rsidRPr="00655251">
              <w:rPr>
                <w:rFonts w:ascii="Arial" w:hAnsi="Arial" w:cs="Arial"/>
                <w:sz w:val="24"/>
                <w:szCs w:val="24"/>
              </w:rPr>
              <w:t xml:space="preserve">por </w:t>
            </w:r>
            <w:r w:rsidR="004E45FA">
              <w:rPr>
                <w:rFonts w:ascii="Arial" w:hAnsi="Arial" w:cs="Arial"/>
                <w:sz w:val="24"/>
                <w:szCs w:val="24"/>
              </w:rPr>
              <w:t>el número de visitas</w:t>
            </w:r>
            <w:r w:rsidR="00805003">
              <w:rPr>
                <w:rFonts w:ascii="Arial" w:hAnsi="Arial" w:cs="Arial"/>
                <w:sz w:val="24"/>
                <w:szCs w:val="24"/>
              </w:rPr>
              <w:t xml:space="preserve"> realizadas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5FA" w:rsidRPr="00805003">
              <w:rPr>
                <w:rFonts w:ascii="Arial" w:hAnsi="Arial" w:cs="Arial"/>
                <w:sz w:val="24"/>
                <w:szCs w:val="24"/>
              </w:rPr>
              <w:t>Vigilancia Administrativa donde se evidencia que</w:t>
            </w:r>
            <w:r w:rsidR="00805003">
              <w:rPr>
                <w:rFonts w:ascii="Arial" w:hAnsi="Arial" w:cs="Arial"/>
                <w:sz w:val="24"/>
                <w:szCs w:val="24"/>
              </w:rPr>
              <w:t xml:space="preserve"> a la fecha de auditoría</w:t>
            </w:r>
            <w:r w:rsidR="004E45FA" w:rsidRPr="00805003">
              <w:rPr>
                <w:rFonts w:ascii="Arial" w:hAnsi="Arial" w:cs="Arial"/>
                <w:sz w:val="24"/>
                <w:szCs w:val="24"/>
              </w:rPr>
              <w:t xml:space="preserve"> se</w:t>
            </w:r>
            <w:r w:rsidR="004E45FA" w:rsidRPr="004E45FA">
              <w:rPr>
                <w:rFonts w:ascii="Arial" w:hAnsi="Arial" w:cs="Arial"/>
                <w:sz w:val="24"/>
                <w:szCs w:val="24"/>
              </w:rPr>
              <w:t xml:space="preserve"> realizaron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5FA" w:rsidRPr="004E45FA">
              <w:rPr>
                <w:rFonts w:ascii="Arial" w:hAnsi="Arial" w:cs="Arial"/>
                <w:sz w:val="24"/>
                <w:szCs w:val="24"/>
              </w:rPr>
              <w:t>36 vistas de revisión PAE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4E45FA" w:rsidRPr="004E45FA">
              <w:rPr>
                <w:rFonts w:ascii="Arial" w:hAnsi="Arial" w:cs="Arial"/>
                <w:sz w:val="24"/>
                <w:szCs w:val="24"/>
              </w:rPr>
              <w:t xml:space="preserve"> 5 visitas d</w:t>
            </w:r>
            <w:r w:rsidR="004E45FA">
              <w:rPr>
                <w:rFonts w:ascii="Arial" w:hAnsi="Arial" w:cs="Arial"/>
                <w:sz w:val="24"/>
                <w:szCs w:val="24"/>
              </w:rPr>
              <w:t xml:space="preserve">e la vigilancia administrativa </w:t>
            </w:r>
            <w:r w:rsidR="004E45FA" w:rsidRPr="004E45FA">
              <w:rPr>
                <w:rFonts w:ascii="Arial" w:hAnsi="Arial" w:cs="Arial"/>
                <w:sz w:val="24"/>
                <w:szCs w:val="24"/>
              </w:rPr>
              <w:t>a los diferentes dependencias</w:t>
            </w:r>
            <w:r w:rsidR="00805003">
              <w:rPr>
                <w:rFonts w:ascii="Arial" w:hAnsi="Arial" w:cs="Arial"/>
                <w:sz w:val="24"/>
                <w:szCs w:val="24"/>
              </w:rPr>
              <w:t xml:space="preserve"> las que se detallan en la siguiente tabla:</w:t>
            </w:r>
          </w:p>
          <w:p w:rsidR="004E45FA" w:rsidRDefault="004E45FA" w:rsidP="004E45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9810" w:type="dxa"/>
              <w:tblInd w:w="108" w:type="dxa"/>
              <w:tblLook w:val="04A0"/>
            </w:tblPr>
            <w:tblGrid>
              <w:gridCol w:w="567"/>
              <w:gridCol w:w="1276"/>
              <w:gridCol w:w="3147"/>
              <w:gridCol w:w="4820"/>
            </w:tblGrid>
            <w:tr w:rsidR="00AF7883" w:rsidRPr="00B8124E" w:rsidTr="00FD5448">
              <w:tc>
                <w:tcPr>
                  <w:tcW w:w="567" w:type="dxa"/>
                </w:tcPr>
                <w:p w:rsidR="00AF7883" w:rsidRPr="00B8124E" w:rsidRDefault="00AF7883" w:rsidP="00AF7883">
                  <w:pPr>
                    <w:spacing w:before="120" w:after="120"/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B8124E">
                    <w:rPr>
                      <w:rFonts w:ascii="Arial" w:hAnsi="Arial" w:cs="Arial"/>
                      <w:b/>
                    </w:rPr>
                    <w:t>No.</w:t>
                  </w:r>
                </w:p>
              </w:tc>
              <w:tc>
                <w:tcPr>
                  <w:tcW w:w="1276" w:type="dxa"/>
                </w:tcPr>
                <w:p w:rsidR="00AF7883" w:rsidRPr="00B8124E" w:rsidRDefault="00AF7883" w:rsidP="00AF788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B8124E">
                    <w:rPr>
                      <w:rFonts w:ascii="Arial" w:hAnsi="Arial" w:cs="Arial"/>
                      <w:b/>
                    </w:rPr>
                    <w:t>FECHA</w:t>
                  </w:r>
                </w:p>
              </w:tc>
              <w:tc>
                <w:tcPr>
                  <w:tcW w:w="3147" w:type="dxa"/>
                </w:tcPr>
                <w:p w:rsidR="00AF7883" w:rsidRPr="00B8124E" w:rsidRDefault="00AF7883" w:rsidP="00AF788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B8124E">
                    <w:rPr>
                      <w:rFonts w:ascii="Arial" w:hAnsi="Arial" w:cs="Arial"/>
                      <w:b/>
                    </w:rPr>
                    <w:t>DEPENDENCIA VISITA</w:t>
                  </w:r>
                </w:p>
              </w:tc>
              <w:tc>
                <w:tcPr>
                  <w:tcW w:w="4820" w:type="dxa"/>
                </w:tcPr>
                <w:p w:rsidR="00AF7883" w:rsidRPr="00B8124E" w:rsidRDefault="00AF7883" w:rsidP="00AF788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B8124E">
                    <w:rPr>
                      <w:rFonts w:ascii="Arial" w:hAnsi="Arial" w:cs="Arial"/>
                      <w:b/>
                    </w:rPr>
                    <w:t>RESULTADO</w:t>
                  </w:r>
                </w:p>
              </w:tc>
            </w:tr>
            <w:tr w:rsidR="00AF7883" w:rsidRPr="00B8124E" w:rsidTr="00FD5448">
              <w:trPr>
                <w:trHeight w:val="1186"/>
              </w:trPr>
              <w:tc>
                <w:tcPr>
                  <w:tcW w:w="567" w:type="dxa"/>
                  <w:vAlign w:val="center"/>
                </w:tcPr>
                <w:p w:rsidR="00AF7883" w:rsidRPr="00B8124E" w:rsidRDefault="00AF7883" w:rsidP="00AF7883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Noviembre 17 de 2022</w:t>
                  </w:r>
                </w:p>
              </w:tc>
              <w:tc>
                <w:tcPr>
                  <w:tcW w:w="3147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Inspección de Medio Ambiente</w:t>
                  </w:r>
                </w:p>
              </w:tc>
              <w:tc>
                <w:tcPr>
                  <w:tcW w:w="4820" w:type="dxa"/>
                </w:tcPr>
                <w:p w:rsidR="00AF7883" w:rsidRPr="00B8124E" w:rsidRDefault="00AF7883" w:rsidP="00AF7883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Verificar aleatoriamente los procedimientos conforme a las normas del Código de Policía en razón a la protección del medio ambiente.</w:t>
                  </w:r>
                </w:p>
                <w:p w:rsidR="00AF7883" w:rsidRPr="00B8124E" w:rsidRDefault="00AF7883" w:rsidP="00AF788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B8124E">
                    <w:rPr>
                      <w:rFonts w:ascii="Arial" w:hAnsi="Arial" w:cs="Arial"/>
                    </w:rPr>
                    <w:t>Se revisaron tres expedientes y las diligencias fueron verificadas conforme a la normatividad del código de Policía.</w:t>
                  </w:r>
                  <w:r w:rsidRPr="00B8124E">
                    <w:rPr>
                      <w:rFonts w:ascii="Arial" w:hAnsi="Arial" w:cs="Arial"/>
                      <w:color w:val="000000"/>
                      <w:lang w:eastAsia="es-CO"/>
                    </w:rPr>
                    <w:t xml:space="preserve"> </w:t>
                  </w:r>
                </w:p>
                <w:p w:rsidR="00AF7883" w:rsidRPr="00B8124E" w:rsidRDefault="00AF7883" w:rsidP="00AF788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F7883" w:rsidRPr="00B8124E" w:rsidTr="00FD5448">
              <w:trPr>
                <w:trHeight w:val="436"/>
              </w:trPr>
              <w:tc>
                <w:tcPr>
                  <w:tcW w:w="567" w:type="dxa"/>
                  <w:vAlign w:val="center"/>
                </w:tcPr>
                <w:p w:rsidR="00AF7883" w:rsidRPr="00B8124E" w:rsidRDefault="00AF7883" w:rsidP="00AF7883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Enero 23 de 2023</w:t>
                  </w:r>
                </w:p>
              </w:tc>
              <w:tc>
                <w:tcPr>
                  <w:tcW w:w="3147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Inspección de Policía Comuna 4</w:t>
                  </w:r>
                </w:p>
              </w:tc>
              <w:tc>
                <w:tcPr>
                  <w:tcW w:w="4820" w:type="dxa"/>
                </w:tcPr>
                <w:p w:rsidR="00AF7883" w:rsidRPr="00B8124E" w:rsidRDefault="00AF7883" w:rsidP="00AF7883">
                  <w:pPr>
                    <w:pStyle w:val="Sinespaciado"/>
                    <w:jc w:val="both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Verificación trámites a las quejas interpuestas por los ciudadanos por ocupación espacio público y control del ruido establecimientos de comercio, sector Santamaría dos. Se selecciona un caso, analizando las actuaciones que reposan en el expediente determina la Delegatura remitir el caso a la Oficina de Control Disciplinario Interno de Itagüí.</w:t>
                  </w:r>
                </w:p>
              </w:tc>
            </w:tr>
            <w:tr w:rsidR="00AF7883" w:rsidRPr="00B8124E" w:rsidTr="00FD5448">
              <w:trPr>
                <w:trHeight w:val="720"/>
              </w:trPr>
              <w:tc>
                <w:tcPr>
                  <w:tcW w:w="567" w:type="dxa"/>
                  <w:vAlign w:val="center"/>
                </w:tcPr>
                <w:p w:rsidR="00AF7883" w:rsidRPr="00B8124E" w:rsidRDefault="00AF7883" w:rsidP="00AF7883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Febrero 14 de 2023</w:t>
                  </w:r>
                </w:p>
              </w:tc>
              <w:tc>
                <w:tcPr>
                  <w:tcW w:w="3147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Entidad Anexa a la Secretaría de Movilidad: Consorcio SETI</w:t>
                  </w:r>
                </w:p>
              </w:tc>
              <w:tc>
                <w:tcPr>
                  <w:tcW w:w="4820" w:type="dxa"/>
                </w:tcPr>
                <w:p w:rsidR="00AF7883" w:rsidRPr="00B8124E" w:rsidRDefault="00AF7883" w:rsidP="00AF7883">
                  <w:pPr>
                    <w:jc w:val="both"/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B8124E">
                    <w:rPr>
                      <w:rFonts w:ascii="Arial" w:hAnsi="Arial" w:cs="Arial"/>
                    </w:rPr>
                    <w:t xml:space="preserve">Vigilancia a los procedimientos en aplicación de la Sentencia C-38 de 2020 en </w:t>
                  </w:r>
                  <w:r w:rsidR="008324A0" w:rsidRPr="00B8124E">
                    <w:rPr>
                      <w:rFonts w:ascii="Arial" w:hAnsi="Arial" w:cs="Arial"/>
                    </w:rPr>
                    <w:t>la foto multas</w:t>
                  </w:r>
                  <w:r w:rsidRPr="00B8124E">
                    <w:rPr>
                      <w:rFonts w:ascii="Arial" w:hAnsi="Arial" w:cs="Arial"/>
                    </w:rPr>
                    <w:t>.</w:t>
                  </w:r>
                </w:p>
                <w:p w:rsidR="00AF7883" w:rsidRPr="00B8124E" w:rsidRDefault="00AF7883" w:rsidP="00AF788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F7883" w:rsidRPr="00B8124E" w:rsidTr="00FD5448">
              <w:tc>
                <w:tcPr>
                  <w:tcW w:w="567" w:type="dxa"/>
                  <w:vAlign w:val="center"/>
                </w:tcPr>
                <w:p w:rsidR="00AF7883" w:rsidRPr="00B8124E" w:rsidRDefault="00AF7883" w:rsidP="00AF7883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Junio 07 de 2023</w:t>
                  </w:r>
                </w:p>
              </w:tc>
              <w:tc>
                <w:tcPr>
                  <w:tcW w:w="3147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 xml:space="preserve">Secretaría de Vivienda y Hábitat </w:t>
                  </w:r>
                </w:p>
              </w:tc>
              <w:tc>
                <w:tcPr>
                  <w:tcW w:w="4820" w:type="dxa"/>
                </w:tcPr>
                <w:p w:rsidR="00AF7883" w:rsidRPr="00B8124E" w:rsidRDefault="00AF7883" w:rsidP="00AF7883">
                  <w:pPr>
                    <w:jc w:val="both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 xml:space="preserve">Atender queja con relación a la asignación de los subsidios para la adquisición de vivienda nueva. </w:t>
                  </w:r>
                  <w:r w:rsidR="008324A0" w:rsidRPr="00B8124E">
                    <w:rPr>
                      <w:rFonts w:ascii="Arial" w:hAnsi="Arial" w:cs="Arial"/>
                    </w:rPr>
                    <w:t>La</w:t>
                  </w:r>
                  <w:r w:rsidRPr="00B8124E">
                    <w:rPr>
                      <w:rFonts w:ascii="Arial" w:hAnsi="Arial" w:cs="Arial"/>
                    </w:rPr>
                    <w:t xml:space="preserve"> asignación del subsidio se otorga por el cumplimiento de requisitos por parte de los postulantes.</w:t>
                  </w:r>
                </w:p>
              </w:tc>
            </w:tr>
            <w:tr w:rsidR="00AF7883" w:rsidRPr="00B8124E" w:rsidTr="00FD5448">
              <w:tc>
                <w:tcPr>
                  <w:tcW w:w="567" w:type="dxa"/>
                  <w:vAlign w:val="center"/>
                </w:tcPr>
                <w:p w:rsidR="00AF7883" w:rsidRPr="00B8124E" w:rsidRDefault="00AF7883" w:rsidP="00AF7883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Septiembre 01 de 2023</w:t>
                  </w:r>
                </w:p>
              </w:tc>
              <w:tc>
                <w:tcPr>
                  <w:tcW w:w="3147" w:type="dxa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Inspección de Policía Comuna Dos</w:t>
                  </w:r>
                </w:p>
              </w:tc>
              <w:tc>
                <w:tcPr>
                  <w:tcW w:w="4820" w:type="dxa"/>
                </w:tcPr>
                <w:p w:rsidR="00AF7883" w:rsidRPr="00B8124E" w:rsidRDefault="00AF7883" w:rsidP="00AF7883">
                  <w:pPr>
                    <w:jc w:val="both"/>
                    <w:rPr>
                      <w:rFonts w:ascii="Arial" w:hAnsi="Arial" w:cs="Arial"/>
                    </w:rPr>
                  </w:pPr>
                  <w:r w:rsidRPr="00B8124E">
                    <w:rPr>
                      <w:rFonts w:ascii="Arial" w:hAnsi="Arial" w:cs="Arial"/>
                    </w:rPr>
                    <w:t>Atender queja con relación afectación por humedad de un parqueadero a viviendas colindantes.</w:t>
                  </w:r>
                </w:p>
              </w:tc>
            </w:tr>
            <w:tr w:rsidR="00AF7883" w:rsidRPr="00B8124E" w:rsidTr="00FD5448">
              <w:tc>
                <w:tcPr>
                  <w:tcW w:w="4990" w:type="dxa"/>
                  <w:gridSpan w:val="3"/>
                  <w:shd w:val="clear" w:color="auto" w:fill="B8CCE4" w:themeFill="accent1" w:themeFillTint="66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8124E">
                    <w:rPr>
                      <w:rFonts w:ascii="Arial" w:hAnsi="Arial" w:cs="Arial"/>
                      <w:b/>
                    </w:rPr>
                    <w:t xml:space="preserve">TOTAL DE VISITAS ADMINISTRATIVAS REALIZADAS ENTRE NOVIEMBRE 2022   A OCTUBRE 2023  </w:t>
                  </w:r>
                </w:p>
              </w:tc>
              <w:tc>
                <w:tcPr>
                  <w:tcW w:w="4820" w:type="dxa"/>
                  <w:shd w:val="clear" w:color="auto" w:fill="B8CCE4" w:themeFill="accent1" w:themeFillTint="66"/>
                  <w:vAlign w:val="center"/>
                </w:tcPr>
                <w:p w:rsidR="00AF7883" w:rsidRPr="00B8124E" w:rsidRDefault="00AF7883" w:rsidP="00AF788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8124E">
                    <w:rPr>
                      <w:rFonts w:ascii="Arial" w:hAnsi="Arial" w:cs="Arial"/>
                      <w:b/>
                    </w:rPr>
                    <w:t>CINCO (5)</w:t>
                  </w:r>
                </w:p>
              </w:tc>
            </w:tr>
          </w:tbl>
          <w:p w:rsidR="00AF7883" w:rsidRPr="00AF7883" w:rsidRDefault="00AF7883" w:rsidP="00AF7883">
            <w:pPr>
              <w:tabs>
                <w:tab w:val="left" w:pos="8789"/>
              </w:tabs>
              <w:rPr>
                <w:rFonts w:ascii="Arial" w:hAnsi="Arial" w:cs="Arial"/>
                <w:lang w:val="es-MX"/>
              </w:rPr>
            </w:pPr>
            <w:r w:rsidRPr="00AF7883">
              <w:rPr>
                <w:rFonts w:ascii="Arial" w:hAnsi="Arial" w:cs="Arial"/>
                <w:lang w:val="es-MX"/>
              </w:rPr>
              <w:t>Fuente: Informes Personero Delegado para la Vigilancia Administrativa</w:t>
            </w:r>
          </w:p>
          <w:p w:rsidR="004E45FA" w:rsidRDefault="004E45FA" w:rsidP="00E30F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7883" w:rsidRDefault="00AF7883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revisada la 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>política de calidad,</w:t>
            </w:r>
            <w:r w:rsidR="00805003">
              <w:rPr>
                <w:rFonts w:ascii="Arial" w:hAnsi="Arial" w:cs="Arial"/>
                <w:sz w:val="24"/>
                <w:szCs w:val="24"/>
              </w:rPr>
              <w:t xml:space="preserve"> las 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 xml:space="preserve"> fuentes</w:t>
            </w:r>
            <w:r w:rsidR="00805003">
              <w:rPr>
                <w:rFonts w:ascii="Arial" w:hAnsi="Arial" w:cs="Arial"/>
                <w:sz w:val="24"/>
                <w:szCs w:val="24"/>
              </w:rPr>
              <w:t xml:space="preserve"> de los planes de mejoramiento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>,</w:t>
            </w:r>
            <w:r w:rsidR="00805003">
              <w:rPr>
                <w:rFonts w:ascii="Arial" w:hAnsi="Arial" w:cs="Arial"/>
                <w:sz w:val="24"/>
                <w:szCs w:val="24"/>
              </w:rPr>
              <w:t xml:space="preserve"> La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 xml:space="preserve"> política anticorrupc</w:t>
            </w:r>
            <w:r>
              <w:rPr>
                <w:rFonts w:ascii="Arial" w:hAnsi="Arial" w:cs="Arial"/>
                <w:sz w:val="24"/>
                <w:szCs w:val="24"/>
              </w:rPr>
              <w:t xml:space="preserve">ión a la cual se dan respuesta 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>de manera verbal</w:t>
            </w:r>
            <w:r>
              <w:rPr>
                <w:rFonts w:ascii="Arial" w:hAnsi="Arial" w:cs="Arial"/>
                <w:sz w:val="24"/>
                <w:szCs w:val="24"/>
              </w:rPr>
              <w:t>, que los riesgos establecidos en la política anticorrupción no fueron materializados durante la vigencia auditada.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F2C0E" w:rsidRDefault="00DF2C0E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5448" w:rsidRPr="002724D8" w:rsidRDefault="00FD5448" w:rsidP="00FD5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Seguimiento </w:t>
            </w:r>
            <w:r w:rsidRPr="002724D8">
              <w:rPr>
                <w:rFonts w:ascii="Arial" w:hAnsi="Arial" w:cs="Arial"/>
                <w:sz w:val="24"/>
                <w:szCs w:val="24"/>
              </w:rPr>
              <w:t xml:space="preserve">Plan de Mejoramiento </w:t>
            </w:r>
          </w:p>
          <w:p w:rsidR="00FD5448" w:rsidRPr="002724D8" w:rsidRDefault="00FD5448" w:rsidP="00FD5448">
            <w:pPr>
              <w:rPr>
                <w:rFonts w:ascii="Arial" w:hAnsi="Arial" w:cs="Arial"/>
                <w:sz w:val="24"/>
                <w:szCs w:val="24"/>
              </w:rPr>
            </w:pPr>
          </w:p>
          <w:p w:rsidR="00AF7883" w:rsidRDefault="00DF2C0E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Fuente, </w:t>
            </w:r>
            <w:r w:rsidRPr="00DF2C0E">
              <w:rPr>
                <w:rFonts w:ascii="Arial" w:hAnsi="Arial" w:cs="Arial"/>
                <w:sz w:val="24"/>
                <w:szCs w:val="24"/>
              </w:rPr>
              <w:t>descripción de la no conformidad u oportunidad de mejora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2C0E">
              <w:rPr>
                <w:rFonts w:ascii="Arial" w:hAnsi="Arial" w:cs="Arial"/>
                <w:sz w:val="24"/>
                <w:szCs w:val="24"/>
              </w:rPr>
              <w:t>tipo de acción</w:t>
            </w:r>
            <w:r>
              <w:rPr>
                <w:rFonts w:ascii="Arial" w:hAnsi="Arial" w:cs="Arial"/>
                <w:sz w:val="24"/>
                <w:szCs w:val="24"/>
              </w:rPr>
              <w:t xml:space="preserve">, se tienen identificadas las causas que dieron origen a la no conformidad y </w:t>
            </w:r>
            <w:r w:rsidRPr="00DF2C0E">
              <w:rPr>
                <w:rFonts w:ascii="Arial" w:hAnsi="Arial" w:cs="Arial"/>
                <w:sz w:val="24"/>
                <w:szCs w:val="24"/>
              </w:rPr>
              <w:t>ACCIÓN A IMPLEMENTAR</w:t>
            </w:r>
            <w:r>
              <w:rPr>
                <w:rFonts w:ascii="Arial" w:hAnsi="Arial" w:cs="Arial"/>
                <w:sz w:val="24"/>
                <w:szCs w:val="24"/>
              </w:rPr>
              <w:t>, y de seguimiento de cumplimiento de la acción</w:t>
            </w:r>
            <w:r w:rsidR="00FD54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D5448" w:rsidRDefault="00FD5448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W w:w="991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367"/>
              <w:gridCol w:w="1801"/>
              <w:gridCol w:w="4907"/>
              <w:gridCol w:w="1843"/>
            </w:tblGrid>
            <w:tr w:rsidR="00DF2C0E" w:rsidRPr="00DF2C0E" w:rsidTr="00FD5448">
              <w:trPr>
                <w:trHeight w:val="1125"/>
              </w:trPr>
              <w:tc>
                <w:tcPr>
                  <w:tcW w:w="6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ICONTEC</w:t>
                  </w: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br/>
                    <w:t>18/11/2022</w:t>
                  </w:r>
                </w:p>
              </w:tc>
              <w:tc>
                <w:tcPr>
                  <w:tcW w:w="24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2C0E" w:rsidRPr="00DF2C0E" w:rsidRDefault="00DF2C0E" w:rsidP="00DF2C0E">
                  <w:pPr>
                    <w:jc w:val="both"/>
                    <w:outlineLvl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Conviene  revisar los informes de satisfacción en las capacitaciones que realiza el proceso de vigilancia administrativa y de la conducta oficial, con uso de una estadística </w:t>
                  </w:r>
                  <w:r w:rsidR="00FD5448" w:rsidRPr="00DF2C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práctica</w:t>
                  </w:r>
                  <w:r w:rsidRPr="00DF2C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y sencilla. </w:t>
                  </w: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Mejora</w:t>
                  </w:r>
                </w:p>
              </w:tc>
            </w:tr>
            <w:tr w:rsidR="00DF2C0E" w:rsidRPr="00DF2C0E" w:rsidTr="00FD5448">
              <w:trPr>
                <w:trHeight w:val="572"/>
              </w:trPr>
              <w:tc>
                <w:tcPr>
                  <w:tcW w:w="6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Auditoría Interna (31/07/2023)</w:t>
                  </w:r>
                </w:p>
              </w:tc>
              <w:tc>
                <w:tcPr>
                  <w:tcW w:w="2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 xml:space="preserve">Es importante hacer un estudio continuo del SGC DEL Proceso de Vigilancia Administrativa Por parte del Delegado 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Correctiva</w:t>
                  </w:r>
                </w:p>
              </w:tc>
            </w:tr>
            <w:tr w:rsidR="00DF2C0E" w:rsidRPr="00DF2C0E" w:rsidTr="00FD5448">
              <w:trPr>
                <w:trHeight w:val="1299"/>
              </w:trPr>
              <w:tc>
                <w:tcPr>
                  <w:tcW w:w="68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Auditoría Interna (31/07/2023)</w:t>
                  </w:r>
                </w:p>
              </w:tc>
              <w:tc>
                <w:tcPr>
                  <w:tcW w:w="2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FD5448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PVC-05 (Procedimiento verbal escrito):</w:t>
                  </w:r>
                  <w:r w:rsidR="00FD544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En la actividad 4, la información documentada está relacionada en la descripción (Se sugiere pasar para la columna de Información Documentada).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2C0E" w:rsidRPr="00DF2C0E" w:rsidRDefault="00DF2C0E" w:rsidP="00DF2C0E">
                  <w:pPr>
                    <w:jc w:val="center"/>
                    <w:outlineLvl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C0E">
                    <w:rPr>
                      <w:rFonts w:ascii="Arial" w:hAnsi="Arial" w:cs="Arial"/>
                      <w:sz w:val="22"/>
                      <w:szCs w:val="22"/>
                    </w:rPr>
                    <w:t>Correctiva</w:t>
                  </w:r>
                </w:p>
              </w:tc>
            </w:tr>
          </w:tbl>
          <w:p w:rsidR="00DF2C0E" w:rsidRPr="00FD5448" w:rsidRDefault="00DF2C0E" w:rsidP="00AA0BF4">
            <w:pPr>
              <w:jc w:val="both"/>
              <w:rPr>
                <w:rFonts w:ascii="Arial" w:hAnsi="Arial" w:cs="Arial"/>
              </w:rPr>
            </w:pPr>
            <w:r w:rsidRPr="00FD5448">
              <w:rPr>
                <w:rFonts w:ascii="Arial" w:hAnsi="Arial" w:cs="Arial"/>
              </w:rPr>
              <w:t>Fuente:</w:t>
            </w:r>
            <w:r w:rsidRPr="00FD5448">
              <w:t xml:space="preserve"> </w:t>
            </w:r>
            <w:r w:rsidRPr="00FD5448">
              <w:rPr>
                <w:rFonts w:ascii="Arial" w:hAnsi="Arial" w:cs="Arial"/>
              </w:rPr>
              <w:t>FEM- 04 Plan de Mejoramiento. 2023. SGC</w:t>
            </w:r>
          </w:p>
          <w:p w:rsidR="00DF2C0E" w:rsidRPr="00FD5448" w:rsidRDefault="00DF2C0E" w:rsidP="00AA0BF4">
            <w:pPr>
              <w:jc w:val="both"/>
              <w:rPr>
                <w:rFonts w:ascii="Arial" w:hAnsi="Arial" w:cs="Arial"/>
              </w:rPr>
            </w:pPr>
          </w:p>
          <w:p w:rsidR="00FD5448" w:rsidRPr="002724D8" w:rsidRDefault="00FD5448" w:rsidP="00400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24D8">
              <w:rPr>
                <w:rFonts w:ascii="Arial" w:hAnsi="Arial" w:cs="Arial"/>
                <w:sz w:val="24"/>
                <w:szCs w:val="24"/>
              </w:rPr>
              <w:t xml:space="preserve">Del plan de mejora de la vigencia auditada  Se tienen una acción de mejora y dos acciones correctivas, un de la más relevantes es “ Es importante hacer un estudio continuo del SGC DEL Proceso de Vigilancia Administrativa Por parte del Delegado” procesos que se deben ajustar de acuerdo a la nueva normatividad vigente </w:t>
            </w:r>
            <w:r>
              <w:rPr>
                <w:rFonts w:ascii="Arial" w:hAnsi="Arial" w:cs="Arial"/>
                <w:sz w:val="24"/>
                <w:szCs w:val="24"/>
              </w:rPr>
              <w:t xml:space="preserve">(Ver </w:t>
            </w:r>
            <w:r w:rsidRPr="002724D8">
              <w:rPr>
                <w:rFonts w:ascii="Arial" w:hAnsi="Arial" w:cs="Arial"/>
                <w:sz w:val="24"/>
                <w:szCs w:val="24"/>
              </w:rPr>
              <w:t>FEM-08 Plan de Mejoramiento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D5448" w:rsidRDefault="00FD5448" w:rsidP="004008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D5448" w:rsidRDefault="00FD5448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04CF" w:rsidRPr="00DF2C0E" w:rsidRDefault="00AF7883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>e revisa la carpetas de manera física donde se evidencia</w:t>
            </w:r>
            <w:r w:rsidR="00DF2C0E">
              <w:rPr>
                <w:rFonts w:ascii="Arial" w:hAnsi="Arial" w:cs="Arial"/>
                <w:sz w:val="24"/>
                <w:szCs w:val="24"/>
              </w:rPr>
              <w:t xml:space="preserve"> el</w:t>
            </w:r>
            <w:r w:rsidR="00E30FD9" w:rsidRPr="00655251">
              <w:rPr>
                <w:rFonts w:ascii="Arial" w:hAnsi="Arial" w:cs="Arial"/>
                <w:sz w:val="24"/>
                <w:szCs w:val="24"/>
              </w:rPr>
              <w:t xml:space="preserve"> manejo de los formatos de ambos procedimientos 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5E3B07">
              <w:rPr>
                <w:rFonts w:ascii="Arial" w:hAnsi="Arial" w:cs="Arial"/>
                <w:sz w:val="24"/>
                <w:szCs w:val="24"/>
              </w:rPr>
              <w:t xml:space="preserve">que uno de los aspectos principales de la Ley 2094 de 2021, </w:t>
            </w:r>
            <w:r w:rsidR="005E3B07"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por medio de la cual se reforma la ley 1952 de 2019 Corresponde a</w:t>
            </w:r>
            <w:r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 la separación de funciones de </w:t>
            </w:r>
            <w:r w:rsidR="005E3B07"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instrucción y de Juzgamiento en el proceso disciplinario, de manera</w:t>
            </w:r>
            <w:r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 separados y</w:t>
            </w:r>
            <w:r w:rsidR="005E3B07"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 que cada etapa sea asumida por dependencias diferentes e independientes entre </w:t>
            </w:r>
            <w:r w:rsidR="004E45FA"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sí</w:t>
            </w:r>
            <w:r w:rsid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r w:rsidR="005E3B07"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Articulo 12 Ley 1952 de 2019 debido Proceso</w:t>
            </w:r>
            <w:r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, evidenciando que el proceso</w:t>
            </w:r>
            <w:r w:rsid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 se encuentra desactualizado y requiere </w:t>
            </w:r>
            <w:r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de ajuste </w:t>
            </w:r>
            <w:r w:rsid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los mismos que se encuentran en proceso de</w:t>
            </w:r>
            <w:r w:rsidRP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 xml:space="preserve"> construcción</w:t>
            </w:r>
            <w:r w:rsidR="00DF2C0E">
              <w:rPr>
                <w:rStyle w:val="Textoennegrita"/>
                <w:rFonts w:ascii="Arial" w:hAnsi="Arial" w:cs="Arial"/>
                <w:b w:val="0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5E3B07" w:rsidRDefault="005E3B07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21365" w:rsidRDefault="00DF2C0E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 manifiesta que Personería</w:t>
            </w:r>
            <w:r w:rsidR="0012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38C">
              <w:rPr>
                <w:rFonts w:ascii="Arial" w:hAnsi="Arial" w:cs="Arial"/>
                <w:sz w:val="24"/>
                <w:szCs w:val="24"/>
              </w:rPr>
              <w:t>Delega</w:t>
            </w:r>
            <w:r w:rsidR="00121365">
              <w:rPr>
                <w:rFonts w:ascii="Arial" w:hAnsi="Arial" w:cs="Arial"/>
                <w:sz w:val="24"/>
                <w:szCs w:val="24"/>
              </w:rPr>
              <w:t>da para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 la V</w:t>
            </w:r>
            <w:r w:rsidR="0016538C">
              <w:rPr>
                <w:rFonts w:ascii="Arial" w:hAnsi="Arial" w:cs="Arial"/>
                <w:sz w:val="24"/>
                <w:szCs w:val="24"/>
              </w:rPr>
              <w:t>igilan</w:t>
            </w:r>
            <w:r w:rsidR="003B22F4">
              <w:rPr>
                <w:rFonts w:ascii="Arial" w:hAnsi="Arial" w:cs="Arial"/>
                <w:sz w:val="24"/>
                <w:szCs w:val="24"/>
              </w:rPr>
              <w:t>cia A</w:t>
            </w:r>
            <w:r w:rsidR="0016538C">
              <w:rPr>
                <w:rFonts w:ascii="Arial" w:hAnsi="Arial" w:cs="Arial"/>
                <w:sz w:val="24"/>
                <w:szCs w:val="24"/>
              </w:rPr>
              <w:t xml:space="preserve">dministrativa continuara con funciones de </w:t>
            </w:r>
            <w:r w:rsidR="00121365">
              <w:rPr>
                <w:rFonts w:ascii="Arial" w:hAnsi="Arial" w:cs="Arial"/>
                <w:sz w:val="24"/>
                <w:szCs w:val="24"/>
              </w:rPr>
              <w:t>vigilancia</w:t>
            </w:r>
            <w:r w:rsidR="0016538C">
              <w:rPr>
                <w:rFonts w:ascii="Arial" w:hAnsi="Arial" w:cs="Arial"/>
                <w:sz w:val="24"/>
                <w:szCs w:val="24"/>
              </w:rPr>
              <w:t xml:space="preserve"> Administrativa y asumirá las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 funciones</w:t>
            </w:r>
            <w:r w:rsidR="0016538C">
              <w:rPr>
                <w:rFonts w:ascii="Arial" w:hAnsi="Arial" w:cs="Arial"/>
                <w:sz w:val="24"/>
                <w:szCs w:val="24"/>
              </w:rPr>
              <w:t xml:space="preserve"> de Instrucción</w:t>
            </w:r>
            <w:r w:rsidR="00121365">
              <w:rPr>
                <w:rFonts w:ascii="Arial" w:hAnsi="Arial" w:cs="Arial"/>
                <w:sz w:val="24"/>
                <w:szCs w:val="24"/>
              </w:rPr>
              <w:t xml:space="preserve"> en los procesos disciplinarios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 Según las Resoluciones </w:t>
            </w:r>
            <w:r w:rsidR="008E2D43">
              <w:rPr>
                <w:rFonts w:ascii="Arial" w:hAnsi="Arial" w:cs="Arial"/>
                <w:sz w:val="24"/>
                <w:szCs w:val="24"/>
              </w:rPr>
              <w:t>112 y 113 expedidas por la entidad por medio de la cual se modifica la resolución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2D43">
              <w:rPr>
                <w:rFonts w:ascii="Arial" w:hAnsi="Arial" w:cs="Arial"/>
                <w:sz w:val="24"/>
                <w:szCs w:val="24"/>
              </w:rPr>
              <w:t xml:space="preserve">048 de 2022, </w:t>
            </w:r>
            <w:r w:rsidR="003B22F4">
              <w:rPr>
                <w:rFonts w:ascii="Arial" w:hAnsi="Arial" w:cs="Arial"/>
                <w:sz w:val="24"/>
                <w:szCs w:val="24"/>
              </w:rPr>
              <w:t>mediante la</w:t>
            </w:r>
            <w:r w:rsidR="008E2D43">
              <w:rPr>
                <w:rFonts w:ascii="Arial" w:hAnsi="Arial" w:cs="Arial"/>
                <w:sz w:val="24"/>
                <w:szCs w:val="24"/>
              </w:rPr>
              <w:t xml:space="preserve"> cual se delegaron y se redistribuyeron funciones para separar los roles de Instrucción y de Juzgamiento y garantizar el trámite de los procesos disciplinarios con forme a la entrada en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 vigencia de la Ley 1952 de </w:t>
            </w:r>
            <w:r w:rsidR="003B22F4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  <w:r w:rsidR="008E2D43">
              <w:rPr>
                <w:rFonts w:ascii="Arial" w:hAnsi="Arial" w:cs="Arial"/>
                <w:sz w:val="24"/>
                <w:szCs w:val="24"/>
              </w:rPr>
              <w:t xml:space="preserve"> y modificada por la Ley 2094 de 2021 </w:t>
            </w:r>
            <w:r w:rsidR="003B22F4">
              <w:rPr>
                <w:rFonts w:ascii="Arial" w:hAnsi="Arial" w:cs="Arial"/>
                <w:sz w:val="24"/>
                <w:szCs w:val="24"/>
              </w:rPr>
              <w:t xml:space="preserve">y la </w:t>
            </w:r>
            <w:r w:rsidR="00121365">
              <w:rPr>
                <w:rFonts w:ascii="Arial" w:hAnsi="Arial" w:cs="Arial"/>
                <w:sz w:val="24"/>
                <w:szCs w:val="24"/>
              </w:rPr>
              <w:t>Personería delegada en lo Penal y de Familia quedara con funciones de primera Instancia y de Juzgamiento</w:t>
            </w:r>
          </w:p>
          <w:p w:rsidR="0016538C" w:rsidRDefault="0016538C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21365" w:rsidRDefault="003B22F4" w:rsidP="00AA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anterior expuesto se requiere a</w:t>
            </w:r>
            <w:r w:rsidR="00121365">
              <w:rPr>
                <w:rFonts w:ascii="Arial" w:hAnsi="Arial" w:cs="Arial"/>
                <w:sz w:val="24"/>
                <w:szCs w:val="24"/>
              </w:rPr>
              <w:t xml:space="preserve">justar el Manual </w:t>
            </w:r>
            <w:r>
              <w:rPr>
                <w:rFonts w:ascii="Arial" w:hAnsi="Arial" w:cs="Arial"/>
                <w:sz w:val="24"/>
                <w:szCs w:val="24"/>
              </w:rPr>
              <w:t>específico</w:t>
            </w:r>
            <w:r w:rsidR="00121365">
              <w:rPr>
                <w:rFonts w:ascii="Arial" w:hAnsi="Arial" w:cs="Arial"/>
                <w:sz w:val="24"/>
                <w:szCs w:val="24"/>
              </w:rPr>
              <w:t xml:space="preserve"> de funciones y de competencias laborales de la </w:t>
            </w:r>
            <w:r w:rsidR="007C3713">
              <w:rPr>
                <w:rFonts w:ascii="Arial" w:hAnsi="Arial" w:cs="Arial"/>
                <w:sz w:val="24"/>
                <w:szCs w:val="24"/>
              </w:rPr>
              <w:t>Personería</w:t>
            </w:r>
            <w:r w:rsidR="00121365">
              <w:rPr>
                <w:rFonts w:ascii="Arial" w:hAnsi="Arial" w:cs="Arial"/>
                <w:sz w:val="24"/>
                <w:szCs w:val="24"/>
              </w:rPr>
              <w:t xml:space="preserve"> municipal de Itagüí</w:t>
            </w:r>
            <w:r>
              <w:rPr>
                <w:rFonts w:ascii="Arial" w:hAnsi="Arial" w:cs="Arial"/>
                <w:sz w:val="24"/>
                <w:szCs w:val="24"/>
              </w:rPr>
              <w:t>; de funciones de la Delegatura de Para la Vigilancia Administrativa, las funciones de instrucción de los procesos Disciplinarios y el Ejercicio de la Vigilancia Administrativa</w:t>
            </w:r>
            <w:r w:rsidR="00D67AA0"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 xml:space="preserve"> Así mismo </w:t>
            </w:r>
            <w:r w:rsidR="00121365">
              <w:rPr>
                <w:rFonts w:ascii="Arial" w:hAnsi="Arial" w:cs="Arial"/>
                <w:sz w:val="24"/>
                <w:szCs w:val="24"/>
              </w:rPr>
              <w:t>al manual de funciones de la Delegatura de Penal y de familia, las funciones de primera Instancia y de Juzgamiento en los procesos disciplinarios</w:t>
            </w:r>
          </w:p>
          <w:p w:rsidR="005E3B07" w:rsidRDefault="005E3B07" w:rsidP="00AA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3713" w:rsidRDefault="007C3713" w:rsidP="00121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 Resolución N° 112 del 22 julio de 2022, </w:t>
            </w:r>
            <w:r w:rsidRPr="007C3713">
              <w:rPr>
                <w:rFonts w:ascii="Arial" w:hAnsi="Arial" w:cs="Arial"/>
                <w:sz w:val="24"/>
                <w:szCs w:val="24"/>
              </w:rPr>
              <w:t>Personería Municipal de Itagüí</w:t>
            </w:r>
          </w:p>
          <w:p w:rsidR="007C3713" w:rsidRDefault="007C3713" w:rsidP="001213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Resolución N° 113 del 22 julio de 2022, Personería Municipal de Itagüí</w:t>
            </w:r>
          </w:p>
          <w:p w:rsidR="00E30FD9" w:rsidRPr="002724D8" w:rsidRDefault="00E30FD9" w:rsidP="00E30FD9">
            <w:pPr>
              <w:rPr>
                <w:rFonts w:ascii="Arial" w:hAnsi="Arial" w:cs="Arial"/>
                <w:sz w:val="24"/>
                <w:szCs w:val="24"/>
              </w:rPr>
            </w:pPr>
          </w:p>
          <w:p w:rsidR="00E30FD9" w:rsidRPr="002724D8" w:rsidRDefault="00E30FD9" w:rsidP="00E30FD9">
            <w:pPr>
              <w:rPr>
                <w:rFonts w:ascii="Arial" w:hAnsi="Arial" w:cs="Arial"/>
                <w:sz w:val="24"/>
                <w:szCs w:val="24"/>
              </w:rPr>
            </w:pPr>
            <w:r w:rsidRPr="002724D8">
              <w:rPr>
                <w:rFonts w:ascii="Arial" w:hAnsi="Arial" w:cs="Arial"/>
                <w:sz w:val="24"/>
                <w:szCs w:val="24"/>
              </w:rPr>
              <w:t>Seguimiento</w:t>
            </w:r>
            <w:r w:rsidR="00B15171" w:rsidRPr="002724D8">
              <w:rPr>
                <w:rFonts w:ascii="Arial" w:hAnsi="Arial" w:cs="Arial"/>
                <w:sz w:val="24"/>
                <w:szCs w:val="24"/>
              </w:rPr>
              <w:t xml:space="preserve"> Indicadores</w:t>
            </w:r>
            <w:r w:rsidRPr="002724D8">
              <w:rPr>
                <w:rFonts w:ascii="Arial" w:hAnsi="Arial" w:cs="Arial"/>
                <w:sz w:val="24"/>
                <w:szCs w:val="24"/>
              </w:rPr>
              <w:t xml:space="preserve"> al Plan estratégico Institucional FPI-14</w:t>
            </w:r>
          </w:p>
          <w:p w:rsidR="00B15171" w:rsidRPr="002724D8" w:rsidRDefault="00B15171" w:rsidP="002724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2D43" w:rsidRPr="002724D8" w:rsidRDefault="00B15171" w:rsidP="002724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24D8">
              <w:rPr>
                <w:rFonts w:ascii="Arial" w:hAnsi="Arial" w:cs="Arial"/>
                <w:sz w:val="24"/>
                <w:szCs w:val="24"/>
              </w:rPr>
              <w:t xml:space="preserve">En la fecha de auditoría se tiene un cumplimiento </w:t>
            </w:r>
            <w:r w:rsidR="00FD5448">
              <w:rPr>
                <w:rFonts w:ascii="Arial" w:hAnsi="Arial" w:cs="Arial"/>
                <w:sz w:val="24"/>
                <w:szCs w:val="24"/>
              </w:rPr>
              <w:t>del</w:t>
            </w:r>
            <w:r w:rsidRPr="00272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4D8" w:rsidRPr="002724D8">
              <w:rPr>
                <w:rFonts w:ascii="Arial" w:hAnsi="Arial" w:cs="Arial"/>
                <w:sz w:val="24"/>
                <w:szCs w:val="24"/>
              </w:rPr>
              <w:t>100% en sus metas Ver seguimiento Fuente: FPI-14 Seguimiento Al Plan estratégico institucional</w:t>
            </w:r>
          </w:p>
          <w:p w:rsidR="00295EA5" w:rsidRDefault="00295EA5" w:rsidP="00295EA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5EA5" w:rsidRDefault="00295EA5" w:rsidP="00057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EA5">
              <w:rPr>
                <w:rFonts w:ascii="Arial" w:hAnsi="Arial" w:cs="Arial"/>
                <w:sz w:val="24"/>
                <w:szCs w:val="24"/>
              </w:rPr>
              <w:t>Cumplimiento de términos prescriptivos de la acción disciplinaria en el proceso Disciplinario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95EA5" w:rsidRDefault="00295EA5" w:rsidP="00295EA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5EA5" w:rsidRDefault="00295EA5" w:rsidP="00295EA5">
            <w:pPr>
              <w:rPr>
                <w:rFonts w:ascii="Arial" w:hAnsi="Arial" w:cs="Arial"/>
                <w:sz w:val="24"/>
                <w:szCs w:val="24"/>
              </w:rPr>
            </w:pPr>
            <w:r w:rsidRPr="00295EA5">
              <w:rPr>
                <w:rFonts w:ascii="Arial" w:hAnsi="Arial" w:cs="Arial"/>
                <w:sz w:val="24"/>
                <w:szCs w:val="24"/>
              </w:rPr>
              <w:t>30/09/2023, A fecha de corte del tercer trimestre/2023, no ha operado el fenómeno de la prescripción en los procesos disciplinarios activos.</w:t>
            </w:r>
          </w:p>
          <w:p w:rsidR="00057516" w:rsidRPr="002C04CF" w:rsidRDefault="00057516" w:rsidP="00FD54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04CF" w:rsidRPr="00C42FBA" w:rsidTr="003B22F4">
        <w:tc>
          <w:tcPr>
            <w:tcW w:w="10182" w:type="dxa"/>
            <w:gridSpan w:val="4"/>
            <w:shd w:val="clear" w:color="auto" w:fill="D9D9D9"/>
          </w:tcPr>
          <w:p w:rsidR="002C04CF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HALLAZGOS</w:t>
            </w:r>
          </w:p>
        </w:tc>
      </w:tr>
      <w:tr w:rsidR="00BB6908" w:rsidRPr="00C42FBA" w:rsidTr="003B22F4">
        <w:tc>
          <w:tcPr>
            <w:tcW w:w="969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13" w:type="dxa"/>
            <w:gridSpan w:val="2"/>
            <w:shd w:val="clear" w:color="auto" w:fill="D9D9D9"/>
          </w:tcPr>
          <w:p w:rsidR="00BB6908" w:rsidRPr="00C42FBA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Pr="00C42FBA" w:rsidRDefault="00E30FD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E30FD9" w:rsidRPr="00437B2E" w:rsidRDefault="00E30FD9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>Posicionamiento institucional frente a la comunidad y otras instituciones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346DB6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E30FD9" w:rsidRDefault="00E30FD9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 xml:space="preserve">Talento Humano cualificado, con sentido de pertenencia, cultura de prestación de servicios.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Se pudo evidenciar que el grupo de trabajo se reúne de manera periódica en comité primario con el fin de analizar los estados de los procesos  y así definir  situaciones que requieren un manejo especial.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Pr="00C42FBA" w:rsidRDefault="00346DB6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437B2E" w:rsidRDefault="00E30FD9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Tanto el Delegado como su personal de apoyo tienen manejo de la carpeta de los procesos y de los procedimientos.  Y acceso a los de Formatos de  calidad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E30FD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F056A2" w:rsidRDefault="00E30FD9" w:rsidP="00F056A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E30FD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F056A2" w:rsidRDefault="00E30FD9" w:rsidP="00E30FD9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1.1 DEBILIDADES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E30FD9" w:rsidRDefault="003B22F4" w:rsidP="00E30FD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>Recursos humanos insuficientes para atender toda la demanda del municipio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E30FD9" w:rsidRDefault="00E30FD9" w:rsidP="00E30FD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>Instalaciones locativas limitadas para la gestión misional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E30FD9" w:rsidRDefault="00E30FD9" w:rsidP="00E30FD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>Las condiciones de los espacios físicos de atención al público son limitados.</w:t>
            </w:r>
          </w:p>
        </w:tc>
      </w:tr>
      <w:tr w:rsidR="00E30FD9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E30FD9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E30FD9" w:rsidRPr="00E30FD9" w:rsidRDefault="00E30FD9" w:rsidP="00E30FD9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30FD9">
              <w:rPr>
                <w:rFonts w:ascii="Arial" w:hAnsi="Arial" w:cs="Arial"/>
                <w:sz w:val="24"/>
                <w:szCs w:val="24"/>
                <w:lang w:val="es-CO"/>
              </w:rPr>
              <w:t>Alta rotación de</w:t>
            </w:r>
            <w:r w:rsidR="00346DB6">
              <w:rPr>
                <w:rFonts w:ascii="Arial" w:hAnsi="Arial" w:cs="Arial"/>
                <w:sz w:val="24"/>
                <w:szCs w:val="24"/>
                <w:lang w:val="es-CO"/>
              </w:rPr>
              <w:t xml:space="preserve"> Personal</w:t>
            </w:r>
          </w:p>
        </w:tc>
      </w:tr>
      <w:tr w:rsidR="00346DB6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346DB6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5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346DB6" w:rsidRPr="00E30FD9" w:rsidRDefault="003B22F4" w:rsidP="00FD544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3B22F4">
              <w:rPr>
                <w:rFonts w:ascii="Arial" w:hAnsi="Arial" w:cs="Arial"/>
                <w:sz w:val="24"/>
                <w:szCs w:val="24"/>
                <w:lang w:val="es-CO"/>
              </w:rPr>
              <w:t xml:space="preserve">Falta de tecnología (hardware y software) apropiada </w:t>
            </w:r>
          </w:p>
        </w:tc>
      </w:tr>
      <w:tr w:rsidR="00FD5448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FD5448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6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FD5448" w:rsidRPr="003B22F4" w:rsidRDefault="00FD5448" w:rsidP="00FD544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FD5448">
              <w:rPr>
                <w:rFonts w:ascii="Arial" w:hAnsi="Arial" w:cs="Arial"/>
                <w:sz w:val="24"/>
                <w:szCs w:val="24"/>
                <w:lang w:val="es-CO"/>
              </w:rPr>
              <w:t>Falta de promoción de capacitación entre los servidores públicos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Pr="007938D0">
              <w:rPr>
                <w:rFonts w:ascii="Arial" w:hAnsi="Arial" w:cs="Arial"/>
                <w:sz w:val="24"/>
                <w:szCs w:val="24"/>
              </w:rPr>
              <w:t>Ley 1952 de 2019 código general disciplinario</w:t>
            </w:r>
          </w:p>
        </w:tc>
      </w:tr>
      <w:tr w:rsidR="00FD5448" w:rsidRPr="00C42FBA" w:rsidTr="003B22F4">
        <w:tc>
          <w:tcPr>
            <w:tcW w:w="969" w:type="dxa"/>
            <w:gridSpan w:val="2"/>
            <w:shd w:val="clear" w:color="auto" w:fill="auto"/>
            <w:vAlign w:val="center"/>
          </w:tcPr>
          <w:p w:rsidR="00FD5448" w:rsidRDefault="00FD5448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13" w:type="dxa"/>
            <w:gridSpan w:val="2"/>
            <w:shd w:val="clear" w:color="auto" w:fill="auto"/>
          </w:tcPr>
          <w:p w:rsidR="00FD5448" w:rsidRPr="003B22F4" w:rsidRDefault="00FD5448" w:rsidP="00FD544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E30FD9" w:rsidRPr="00C42FBA" w:rsidTr="00FD5448">
        <w:trPr>
          <w:trHeight w:val="76"/>
        </w:trPr>
        <w:tc>
          <w:tcPr>
            <w:tcW w:w="534" w:type="dxa"/>
            <w:shd w:val="clear" w:color="auto" w:fill="BFBFBF"/>
          </w:tcPr>
          <w:p w:rsidR="00E30FD9" w:rsidRPr="00C42FBA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6944" w:type="dxa"/>
            <w:gridSpan w:val="2"/>
            <w:shd w:val="clear" w:color="auto" w:fill="BFBFBF"/>
          </w:tcPr>
          <w:p w:rsidR="00E30FD9" w:rsidRPr="00C42FBA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2704" w:type="dxa"/>
            <w:shd w:val="clear" w:color="auto" w:fill="BFBFBF"/>
          </w:tcPr>
          <w:p w:rsidR="00E30FD9" w:rsidRPr="00C42FBA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E30FD9" w:rsidRPr="00C42FBA" w:rsidTr="00FD5448">
        <w:trPr>
          <w:trHeight w:val="76"/>
        </w:trPr>
        <w:tc>
          <w:tcPr>
            <w:tcW w:w="534" w:type="dxa"/>
            <w:shd w:val="clear" w:color="auto" w:fill="auto"/>
          </w:tcPr>
          <w:p w:rsidR="00E30FD9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30FD9" w:rsidRDefault="00EC0DCF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N/A</w:t>
            </w:r>
          </w:p>
        </w:tc>
        <w:tc>
          <w:tcPr>
            <w:tcW w:w="2704" w:type="dxa"/>
            <w:shd w:val="clear" w:color="auto" w:fill="auto"/>
          </w:tcPr>
          <w:p w:rsidR="00E30FD9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E30FD9" w:rsidRPr="00C42FBA" w:rsidTr="00FD5448">
        <w:trPr>
          <w:trHeight w:val="76"/>
        </w:trPr>
        <w:tc>
          <w:tcPr>
            <w:tcW w:w="534" w:type="dxa"/>
            <w:shd w:val="clear" w:color="auto" w:fill="auto"/>
          </w:tcPr>
          <w:p w:rsidR="00E30FD9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E30FD9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2704" w:type="dxa"/>
            <w:shd w:val="clear" w:color="auto" w:fill="auto"/>
          </w:tcPr>
          <w:p w:rsidR="00E30FD9" w:rsidRDefault="00E30FD9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E30FD9" w:rsidRPr="00C42FBA" w:rsidTr="00FD5448">
        <w:tc>
          <w:tcPr>
            <w:tcW w:w="534" w:type="dxa"/>
            <w:shd w:val="clear" w:color="auto" w:fill="BFBFBF"/>
          </w:tcPr>
          <w:p w:rsidR="00E30FD9" w:rsidRPr="00C42FBA" w:rsidRDefault="00E30FD9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9648" w:type="dxa"/>
            <w:gridSpan w:val="3"/>
            <w:shd w:val="clear" w:color="auto" w:fill="BFBFBF"/>
          </w:tcPr>
          <w:p w:rsidR="00E30FD9" w:rsidRPr="00C42FBA" w:rsidRDefault="00E30FD9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</w:p>
        </w:tc>
      </w:tr>
      <w:tr w:rsidR="00E30FD9" w:rsidRPr="00C42FBA" w:rsidTr="00FD5448">
        <w:tc>
          <w:tcPr>
            <w:tcW w:w="534" w:type="dxa"/>
            <w:shd w:val="clear" w:color="auto" w:fill="auto"/>
          </w:tcPr>
          <w:p w:rsidR="00E30FD9" w:rsidRPr="00C42FBA" w:rsidRDefault="00E30FD9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648" w:type="dxa"/>
            <w:gridSpan w:val="3"/>
            <w:shd w:val="clear" w:color="auto" w:fill="auto"/>
          </w:tcPr>
          <w:p w:rsidR="00D67AA0" w:rsidRDefault="00D67AA0" w:rsidP="00400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FD9" w:rsidRDefault="007938D0" w:rsidP="00400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E2D43">
              <w:rPr>
                <w:rFonts w:ascii="Arial" w:hAnsi="Arial" w:cs="Arial"/>
                <w:sz w:val="24"/>
                <w:szCs w:val="24"/>
              </w:rPr>
              <w:t>on forme a la entrada en</w:t>
            </w:r>
            <w:r>
              <w:rPr>
                <w:rFonts w:ascii="Arial" w:hAnsi="Arial" w:cs="Arial"/>
                <w:sz w:val="24"/>
                <w:szCs w:val="24"/>
              </w:rPr>
              <w:t xml:space="preserve"> vigencia de </w:t>
            </w:r>
            <w:r w:rsidRPr="007938D0">
              <w:rPr>
                <w:rFonts w:ascii="Arial" w:hAnsi="Arial" w:cs="Arial"/>
                <w:sz w:val="24"/>
                <w:szCs w:val="24"/>
              </w:rPr>
              <w:t>Competencias de Ley 1952 de 2019 código general disciplinario que derogan la ley 734 de 2002 y algunas disposiciones de la ley 1474 de 2011, relacionadas con el derecho Disciplinario. y modificado por la Ley 2094 de 2021</w:t>
            </w:r>
            <w:r w:rsidR="008E2D43">
              <w:rPr>
                <w:rFonts w:ascii="Arial" w:hAnsi="Arial" w:cs="Arial"/>
                <w:sz w:val="24"/>
                <w:szCs w:val="24"/>
              </w:rPr>
              <w:t>, es conveniente ajustar los siguientes Procesos</w:t>
            </w:r>
            <w:r>
              <w:rPr>
                <w:rFonts w:ascii="Arial" w:hAnsi="Arial" w:cs="Arial"/>
                <w:sz w:val="24"/>
                <w:szCs w:val="24"/>
              </w:rPr>
              <w:t xml:space="preserve"> y Procedimientos</w:t>
            </w:r>
            <w:r w:rsidR="00D67AA0">
              <w:rPr>
                <w:rFonts w:ascii="Arial" w:hAnsi="Arial" w:cs="Arial"/>
                <w:sz w:val="24"/>
                <w:szCs w:val="24"/>
              </w:rPr>
              <w:t xml:space="preserve"> que se relacionan a continuación en SGC</w:t>
            </w:r>
            <w:r w:rsidR="008E2D4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E2D43" w:rsidRDefault="008E2D43" w:rsidP="00671DEC">
            <w:pPr>
              <w:rPr>
                <w:rFonts w:ascii="Arial" w:hAnsi="Arial" w:cs="Arial"/>
                <w:sz w:val="24"/>
                <w:szCs w:val="24"/>
              </w:rPr>
            </w:pPr>
          </w:p>
          <w:p w:rsidR="008E2D43" w:rsidRPr="00D67AA0" w:rsidRDefault="008E2D43" w:rsidP="00D67AA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sz w:val="24"/>
                <w:szCs w:val="24"/>
                <w:lang w:val="es-CO"/>
              </w:rPr>
              <w:t>PVC-01 Tramite de la queja disciplinaria</w:t>
            </w:r>
          </w:p>
          <w:p w:rsidR="007938D0" w:rsidRPr="00D67AA0" w:rsidRDefault="007938D0" w:rsidP="00D67AA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sz w:val="24"/>
                <w:szCs w:val="24"/>
                <w:lang w:val="es-CO"/>
              </w:rPr>
              <w:t>PVC-02-Indagacion-Preliminar</w:t>
            </w:r>
          </w:p>
          <w:p w:rsidR="007938D0" w:rsidRPr="00D67AA0" w:rsidRDefault="007938D0" w:rsidP="00D67AA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sz w:val="24"/>
                <w:szCs w:val="24"/>
                <w:lang w:val="es-CO"/>
              </w:rPr>
              <w:t>PVC-03 Apertura de investigación disciplinaria</w:t>
            </w:r>
          </w:p>
          <w:p w:rsidR="007938D0" w:rsidRPr="00D67AA0" w:rsidRDefault="007938D0" w:rsidP="00D67AA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sz w:val="24"/>
                <w:szCs w:val="24"/>
                <w:lang w:val="es-CO"/>
              </w:rPr>
              <w:t>PVC-04 Vigilancia administrativa</w:t>
            </w:r>
          </w:p>
          <w:p w:rsidR="007938D0" w:rsidRPr="00D67AA0" w:rsidRDefault="007938D0" w:rsidP="00D67AA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sz w:val="24"/>
                <w:szCs w:val="24"/>
                <w:lang w:val="es-CO"/>
              </w:rPr>
              <w:t>PVC-05-Proceso-Verbal-Disciplinario</w:t>
            </w:r>
          </w:p>
          <w:p w:rsidR="007938D0" w:rsidRDefault="007938D0" w:rsidP="00671DE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938D0" w:rsidRDefault="007938D0" w:rsidP="007938D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Igualmente se indica que la </w:t>
            </w:r>
            <w:r w:rsidRPr="007938D0">
              <w:rPr>
                <w:rFonts w:ascii="Arial" w:hAnsi="Arial" w:cs="Arial"/>
                <w:sz w:val="24"/>
                <w:szCs w:val="24"/>
                <w:lang w:val="es-CO"/>
              </w:rPr>
              <w:t xml:space="preserve"> mirada al procedimiento disciplinario que rige actualmente. La Ley 1952 del 2019 había dispuesto que, a partir de determinado momento, en todos los casos, el procedimiento sería de carácter oral, pero la Ley 2094 del 2021 modificó la situación y volvió a fijar un procedimiento ordinario y uno verbal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el cual requiere ser documentado mediante el SGC</w:t>
            </w:r>
            <w:r w:rsidRPr="007938D0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7938D0" w:rsidRDefault="007938D0" w:rsidP="007938D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938D0" w:rsidRDefault="007938D0" w:rsidP="007938D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De lo observado la delegatura de la Vigilancia Administrativa y la delegatura Penal y de Familia deberán suscribir plan de</w:t>
            </w:r>
            <w:r w:rsidR="00130938">
              <w:rPr>
                <w:rFonts w:ascii="Arial" w:hAnsi="Arial" w:cs="Arial"/>
                <w:sz w:val="24"/>
                <w:szCs w:val="24"/>
                <w:lang w:val="es-CO"/>
              </w:rPr>
              <w:t xml:space="preserve"> mejoramiento mediante los cuales se incorporen las </w:t>
            </w:r>
            <w:r w:rsidR="00130938" w:rsidRPr="007938D0">
              <w:rPr>
                <w:rFonts w:ascii="Arial" w:hAnsi="Arial" w:cs="Arial"/>
                <w:sz w:val="24"/>
                <w:szCs w:val="24"/>
              </w:rPr>
              <w:t>Competencias de Ley 1952 de 2019 código general disciplinario que derogan la ley 734 de 2002</w:t>
            </w:r>
            <w:r w:rsidR="00130938">
              <w:rPr>
                <w:rFonts w:ascii="Arial" w:hAnsi="Arial" w:cs="Arial"/>
                <w:sz w:val="24"/>
                <w:szCs w:val="24"/>
                <w:lang w:val="es-CO"/>
              </w:rPr>
              <w:t>, en su Etapa de Instrucción y Etapa de Juzgamiento</w:t>
            </w:r>
            <w:r w:rsidR="00A73203">
              <w:rPr>
                <w:rFonts w:ascii="Arial" w:hAnsi="Arial" w:cs="Arial"/>
                <w:sz w:val="24"/>
                <w:szCs w:val="24"/>
                <w:lang w:val="es-CO"/>
              </w:rPr>
              <w:t xml:space="preserve"> Funciones delegadas a través de las Resoluciones 112 de 2022, que modifica la resolución 047 de 2022, por medio de la cual se modifican unas funciones y competencias de la personería Municipal de Itagüí y La </w:t>
            </w:r>
            <w:r w:rsidR="001A5D5B">
              <w:rPr>
                <w:rFonts w:ascii="Arial" w:hAnsi="Arial" w:cs="Arial"/>
                <w:sz w:val="24"/>
                <w:szCs w:val="24"/>
                <w:lang w:val="es-CO"/>
              </w:rPr>
              <w:t>R</w:t>
            </w:r>
            <w:r w:rsidR="00A73203">
              <w:rPr>
                <w:rFonts w:ascii="Arial" w:hAnsi="Arial" w:cs="Arial"/>
                <w:sz w:val="24"/>
                <w:szCs w:val="24"/>
                <w:lang w:val="es-CO"/>
              </w:rPr>
              <w:t xml:space="preserve">esolución 113 de 2022, mediante la cual se delegan y se asignan y redistribuyen funciones para separar los roles de instrucción y Juzgamiento y </w:t>
            </w:r>
            <w:r w:rsidR="001A5D5B">
              <w:rPr>
                <w:rFonts w:ascii="Arial" w:hAnsi="Arial" w:cs="Arial"/>
                <w:sz w:val="24"/>
                <w:szCs w:val="24"/>
                <w:lang w:val="es-CO"/>
              </w:rPr>
              <w:t>garantizar</w:t>
            </w:r>
            <w:r w:rsidR="00A73203">
              <w:rPr>
                <w:rFonts w:ascii="Arial" w:hAnsi="Arial" w:cs="Arial"/>
                <w:sz w:val="24"/>
                <w:szCs w:val="24"/>
                <w:lang w:val="es-CO"/>
              </w:rPr>
              <w:t xml:space="preserve"> los tramites del proceso disciplinario, conforme en la entrada en vigencia de la Ley 1952 de 2019 y 2094 de 2021.</w:t>
            </w:r>
          </w:p>
          <w:p w:rsidR="007938D0" w:rsidRPr="00130938" w:rsidRDefault="007938D0" w:rsidP="007938D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938D0" w:rsidRPr="00130938" w:rsidRDefault="007938D0" w:rsidP="007938D0">
            <w:pPr>
              <w:pStyle w:val="Prrafodelista"/>
              <w:numPr>
                <w:ilvl w:val="0"/>
                <w:numId w:val="11"/>
              </w:numPr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  <w:lang w:val="es-ES"/>
              </w:rPr>
            </w:pPr>
            <w:r w:rsidRPr="00130938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  <w:lang w:val="es-ES"/>
              </w:rPr>
              <w:t xml:space="preserve">indagación previa, </w:t>
            </w:r>
          </w:p>
          <w:p w:rsidR="007938D0" w:rsidRPr="00130938" w:rsidRDefault="007938D0" w:rsidP="007938D0">
            <w:pPr>
              <w:pStyle w:val="Prrafodelista"/>
              <w:numPr>
                <w:ilvl w:val="0"/>
                <w:numId w:val="11"/>
              </w:numPr>
              <w:rPr>
                <w:rStyle w:val="hgkelc"/>
                <w:sz w:val="24"/>
                <w:szCs w:val="24"/>
                <w:lang w:val="es-MX"/>
              </w:rPr>
            </w:pPr>
            <w:r w:rsidRPr="00130938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  <w:lang w:val="es-ES"/>
              </w:rPr>
              <w:t>(ii) investigación disciplinaria,</w:t>
            </w:r>
          </w:p>
          <w:p w:rsidR="007938D0" w:rsidRPr="00130938" w:rsidRDefault="007938D0" w:rsidP="007938D0">
            <w:pPr>
              <w:pStyle w:val="Prrafodelista"/>
              <w:numPr>
                <w:ilvl w:val="0"/>
                <w:numId w:val="11"/>
              </w:numPr>
              <w:rPr>
                <w:rStyle w:val="hgkelc"/>
                <w:sz w:val="24"/>
                <w:szCs w:val="24"/>
                <w:lang w:val="es-MX"/>
              </w:rPr>
            </w:pPr>
            <w:r w:rsidRPr="00130938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  <w:lang w:val="es-ES"/>
              </w:rPr>
              <w:t xml:space="preserve">(iii) cierre de la investigación y evaluación y </w:t>
            </w:r>
          </w:p>
          <w:p w:rsidR="007938D0" w:rsidRPr="00130938" w:rsidRDefault="007938D0" w:rsidP="007938D0">
            <w:pPr>
              <w:pStyle w:val="Prrafodelista"/>
              <w:numPr>
                <w:ilvl w:val="0"/>
                <w:numId w:val="11"/>
              </w:numPr>
              <w:rPr>
                <w:sz w:val="24"/>
                <w:szCs w:val="24"/>
                <w:lang w:val="es-MX"/>
              </w:rPr>
            </w:pPr>
            <w:r w:rsidRPr="00130938">
              <w:rPr>
                <w:rStyle w:val="hgkelc"/>
                <w:rFonts w:ascii="Arial" w:hAnsi="Arial" w:cs="Arial"/>
                <w:color w:val="040C28"/>
                <w:sz w:val="24"/>
                <w:szCs w:val="24"/>
                <w:shd w:val="clear" w:color="auto" w:fill="FFFFFF"/>
                <w:lang w:val="es-ES"/>
              </w:rPr>
              <w:t>(iv) etapa de juzgamiento</w:t>
            </w:r>
            <w:r w:rsidRPr="00130938">
              <w:rPr>
                <w:rStyle w:val="hgkelc"/>
                <w:rFonts w:ascii="Arial" w:hAnsi="Arial" w:cs="Arial"/>
                <w:color w:val="202124"/>
                <w:sz w:val="24"/>
                <w:szCs w:val="24"/>
                <w:shd w:val="clear" w:color="auto" w:fill="FFFFFF"/>
                <w:lang w:val="es-ES"/>
              </w:rPr>
              <w:t>.</w:t>
            </w:r>
          </w:p>
          <w:p w:rsidR="00FD5448" w:rsidRDefault="00FD5448" w:rsidP="007938D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130938" w:rsidRPr="00D67AA0" w:rsidRDefault="00D67AA0" w:rsidP="007938D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Causa:</w:t>
            </w:r>
          </w:p>
          <w:p w:rsidR="00B56F87" w:rsidRDefault="00B56F87" w:rsidP="007938D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130938" w:rsidRPr="00B56F87" w:rsidRDefault="00B56F87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56F87">
              <w:rPr>
                <w:rFonts w:ascii="Arial" w:hAnsi="Arial" w:cs="Arial"/>
                <w:sz w:val="24"/>
                <w:szCs w:val="24"/>
                <w:lang w:val="es-CO"/>
              </w:rPr>
              <w:t>Posibilidad de desconocimiento de normas y falta de capacitación Competencias de Ley 1952 de 2019 código general disciplinario</w:t>
            </w:r>
          </w:p>
          <w:p w:rsidR="00B56F87" w:rsidRDefault="00B56F87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67AA0" w:rsidRDefault="00D67AA0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938D0" w:rsidRPr="00D67AA0" w:rsidRDefault="00130938" w:rsidP="004008F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b/>
                <w:sz w:val="24"/>
                <w:szCs w:val="24"/>
                <w:lang w:val="es-CO"/>
              </w:rPr>
              <w:t>Efectos</w:t>
            </w:r>
            <w:r w:rsidR="00D67AA0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  <w:p w:rsidR="00B56F87" w:rsidRDefault="00B56F87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938D0" w:rsidRDefault="00B56F87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Posibilidad de nulidades Procesales y de Vulneración </w:t>
            </w:r>
            <w:r w:rsidR="00FD5448">
              <w:rPr>
                <w:rFonts w:ascii="Arial" w:hAnsi="Arial" w:cs="Arial"/>
                <w:sz w:val="24"/>
                <w:szCs w:val="24"/>
                <w:lang w:val="es-CO"/>
              </w:rPr>
              <w:t xml:space="preserve">de normas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del debido procesos</w:t>
            </w:r>
          </w:p>
          <w:p w:rsid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67AA0" w:rsidRDefault="00D67AA0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67AA0" w:rsidRPr="00D67AA0" w:rsidRDefault="00D67AA0" w:rsidP="004008F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D67AA0">
              <w:rPr>
                <w:rFonts w:ascii="Arial" w:hAnsi="Arial" w:cs="Arial"/>
                <w:b/>
                <w:sz w:val="24"/>
                <w:szCs w:val="24"/>
                <w:lang w:val="es-CO"/>
              </w:rPr>
              <w:t>Criterios Normativos:</w:t>
            </w:r>
          </w:p>
          <w:p w:rsidR="00D67AA0" w:rsidRDefault="00D67AA0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Normas Y reglamentos</w:t>
            </w:r>
            <w:r w:rsidR="00B56F87">
              <w:rPr>
                <w:rFonts w:ascii="Arial" w:hAnsi="Arial" w:cs="Arial"/>
                <w:sz w:val="24"/>
                <w:szCs w:val="24"/>
                <w:lang w:val="es-CO"/>
              </w:rPr>
              <w:t>, políticas internas, planes y Directivas</w:t>
            </w:r>
          </w:p>
          <w:p w:rsid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Constitución Política de Colombia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de 1991</w:t>
            </w: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</w:p>
          <w:p w:rsid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 xml:space="preserve">Ley 1474 de 2011 </w:t>
            </w:r>
          </w:p>
          <w:p w:rsidR="00130938" w:rsidRP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Ley 136 de 1994 Función de las Personerías Art. 178 N° 4</w:t>
            </w:r>
          </w:p>
          <w:p w:rsidR="00130938" w:rsidRPr="00130938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Ley 1474 de 2011</w:t>
            </w:r>
          </w:p>
          <w:p w:rsidR="00130938" w:rsidRPr="00FA3F44" w:rsidRDefault="00130938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30938">
              <w:rPr>
                <w:rFonts w:ascii="Arial" w:hAnsi="Arial" w:cs="Arial"/>
                <w:sz w:val="24"/>
                <w:szCs w:val="24"/>
                <w:lang w:val="es-CO"/>
              </w:rPr>
              <w:t>Competencias de Ley 1952 de 2019 código general disciplinario que derogan la ley 734 de 2002 y algunas disposiciones de la ley 1474 de 2011, relacionadas con el derecho Disciplinario. y modificado por la Ley 2094 de 2021</w:t>
            </w:r>
          </w:p>
        </w:tc>
      </w:tr>
      <w:tr w:rsidR="00E30FD9" w:rsidRPr="00C42FBA" w:rsidTr="00FD5448">
        <w:tc>
          <w:tcPr>
            <w:tcW w:w="534" w:type="dxa"/>
            <w:shd w:val="clear" w:color="auto" w:fill="auto"/>
          </w:tcPr>
          <w:p w:rsidR="00E30FD9" w:rsidRPr="00C42FBA" w:rsidRDefault="00E30FD9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648" w:type="dxa"/>
            <w:gridSpan w:val="3"/>
            <w:shd w:val="clear" w:color="auto" w:fill="auto"/>
          </w:tcPr>
          <w:p w:rsidR="00E30FD9" w:rsidRPr="00617525" w:rsidRDefault="00E30FD9" w:rsidP="00617525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E30FD9" w:rsidRPr="00C42FBA" w:rsidTr="003B22F4">
        <w:tc>
          <w:tcPr>
            <w:tcW w:w="10182" w:type="dxa"/>
            <w:gridSpan w:val="4"/>
            <w:shd w:val="clear" w:color="auto" w:fill="BFBFBF"/>
          </w:tcPr>
          <w:p w:rsidR="00E30FD9" w:rsidRPr="00C42FBA" w:rsidRDefault="00E30FD9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CONCLUSIONES /RECOMENDACIONES DE LA AUDITORÍ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E30FD9" w:rsidRPr="00C42FBA" w:rsidTr="003B22F4">
        <w:tc>
          <w:tcPr>
            <w:tcW w:w="10182" w:type="dxa"/>
            <w:gridSpan w:val="4"/>
            <w:shd w:val="clear" w:color="auto" w:fill="auto"/>
          </w:tcPr>
          <w:p w:rsidR="00D67AA0" w:rsidRDefault="00D67AA0" w:rsidP="004008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EC0DCF" w:rsidRPr="00A12F92" w:rsidRDefault="00EC0DCF" w:rsidP="004008F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12F92">
              <w:rPr>
                <w:rFonts w:ascii="Arial" w:hAnsi="Arial" w:cs="Arial"/>
                <w:sz w:val="24"/>
                <w:szCs w:val="24"/>
                <w:lang w:val="es-CO"/>
              </w:rPr>
              <w:t xml:space="preserve">Se recomienda y es conveniente, hacer un estudio y de actualización normativa </w:t>
            </w:r>
            <w:r w:rsidRPr="00A12F92">
              <w:rPr>
                <w:rFonts w:ascii="Arial" w:hAnsi="Arial" w:cs="Arial"/>
                <w:bCs/>
                <w:sz w:val="24"/>
                <w:szCs w:val="24"/>
              </w:rPr>
              <w:t>Ley 1952 de 2019, que Deroga parcialmente Ley 734 de 2002</w:t>
            </w:r>
            <w:r w:rsidR="00CA3DC9">
              <w:rPr>
                <w:rFonts w:ascii="Arial" w:hAnsi="Arial" w:cs="Arial"/>
                <w:bCs/>
                <w:sz w:val="24"/>
                <w:szCs w:val="24"/>
              </w:rPr>
              <w:t>, cuya</w:t>
            </w:r>
            <w:r w:rsidR="00A12F92" w:rsidRPr="00A12F92">
              <w:rPr>
                <w:rFonts w:ascii="Arial" w:hAnsi="Arial" w:cs="Arial"/>
                <w:bCs/>
                <w:sz w:val="24"/>
                <w:szCs w:val="24"/>
              </w:rPr>
              <w:t xml:space="preserve"> vigencia de esta norma fue diferida hasta el 29 de Marzo de 2022, a excepción de los Artículos 69 y 74 de la Ley 2094, que entraran a regir a partir del 30 de Junio de 2021, y el Artículo 7 de la Ley 2094 de 2021 entrara a regir el 29 de diciembre del 2023, de acuerdo con el Artículo 73 de la Ley 2094 de 2021.</w:t>
            </w:r>
          </w:p>
          <w:p w:rsidR="00EC0DCF" w:rsidRPr="00A12F92" w:rsidRDefault="00EC0DCF" w:rsidP="00EC0DC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30FD9" w:rsidRPr="00C42FBA" w:rsidRDefault="00A12F92" w:rsidP="00FF4CE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A3DC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Es importante </w:t>
            </w:r>
            <w:r w:rsidR="00CA3DC9" w:rsidRPr="00CA3DC9">
              <w:rPr>
                <w:rFonts w:ascii="Arial" w:hAnsi="Arial" w:cs="Arial"/>
                <w:bCs/>
                <w:sz w:val="24"/>
                <w:szCs w:val="24"/>
              </w:rPr>
              <w:t xml:space="preserve">Realizar la documentación de los procesos, se sugiere que los delegados de </w:t>
            </w:r>
            <w:r w:rsidR="007D2FDE">
              <w:rPr>
                <w:rFonts w:ascii="Arial" w:hAnsi="Arial" w:cs="Arial"/>
                <w:bCs/>
                <w:sz w:val="24"/>
                <w:szCs w:val="24"/>
              </w:rPr>
              <w:t xml:space="preserve">la Vigilancia Administrativa, </w:t>
            </w:r>
            <w:r w:rsidR="00CA3DC9" w:rsidRPr="00CA3DC9">
              <w:rPr>
                <w:rFonts w:ascii="Arial" w:hAnsi="Arial" w:cs="Arial"/>
                <w:bCs/>
                <w:sz w:val="24"/>
                <w:szCs w:val="24"/>
              </w:rPr>
              <w:t>Penal y Familia</w:t>
            </w:r>
            <w:r w:rsidRPr="00CA3D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883">
              <w:rPr>
                <w:rFonts w:ascii="Arial" w:hAnsi="Arial" w:cs="Arial"/>
                <w:bCs/>
                <w:sz w:val="24"/>
                <w:szCs w:val="24"/>
              </w:rPr>
              <w:t xml:space="preserve"> establezcan </w:t>
            </w:r>
            <w:r w:rsidR="00CA3DC9" w:rsidRPr="00CA3DC9">
              <w:rPr>
                <w:rFonts w:ascii="Arial" w:hAnsi="Arial" w:cs="Arial"/>
                <w:bCs/>
                <w:sz w:val="24"/>
                <w:szCs w:val="24"/>
              </w:rPr>
              <w:t>un plan de trabajo y fijen plazo para realizar la caracterización y aprobación de</w:t>
            </w:r>
            <w:r w:rsidR="00AF7883">
              <w:rPr>
                <w:rFonts w:ascii="Arial" w:hAnsi="Arial" w:cs="Arial"/>
                <w:bCs/>
                <w:sz w:val="24"/>
                <w:szCs w:val="24"/>
              </w:rPr>
              <w:t xml:space="preserve"> los procesos y procedimientos Ordinario Y Verbal Disciplinario</w:t>
            </w:r>
            <w:r w:rsidR="007D2FD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7938D0">
              <w:rPr>
                <w:rFonts w:ascii="Arial" w:hAnsi="Arial" w:cs="Arial"/>
                <w:bCs/>
                <w:sz w:val="24"/>
                <w:szCs w:val="24"/>
              </w:rPr>
              <w:t xml:space="preserve"> en sus diferentes</w:t>
            </w:r>
            <w:r w:rsidR="00FF4CEF">
              <w:rPr>
                <w:rFonts w:ascii="Arial" w:hAnsi="Arial" w:cs="Arial"/>
                <w:bCs/>
                <w:sz w:val="24"/>
                <w:szCs w:val="24"/>
              </w:rPr>
              <w:t xml:space="preserve"> Etapas</w:t>
            </w:r>
            <w:r w:rsidR="007938D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D2FDE" w:rsidRPr="00A12F92">
              <w:rPr>
                <w:rFonts w:ascii="Arial" w:hAnsi="Arial" w:cs="Arial"/>
                <w:sz w:val="24"/>
                <w:szCs w:val="24"/>
                <w:lang w:val="es-CO"/>
              </w:rPr>
              <w:t xml:space="preserve">y de actualización normativa </w:t>
            </w:r>
            <w:r w:rsidR="007D2FDE" w:rsidRPr="00A12F92">
              <w:rPr>
                <w:rFonts w:ascii="Arial" w:hAnsi="Arial" w:cs="Arial"/>
                <w:bCs/>
                <w:sz w:val="24"/>
                <w:szCs w:val="24"/>
              </w:rPr>
              <w:t>Ley 1952 de 2019</w:t>
            </w:r>
            <w:r w:rsidR="007D2FDE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r w:rsidR="007D2FDE" w:rsidRPr="00A12F92">
              <w:rPr>
                <w:rFonts w:ascii="Arial" w:hAnsi="Arial" w:cs="Arial"/>
                <w:bCs/>
                <w:sz w:val="24"/>
                <w:szCs w:val="24"/>
              </w:rPr>
              <w:t>Ley 2094 de 2021</w:t>
            </w:r>
            <w:r w:rsidRPr="00CA3DC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EC0DCF" w:rsidRPr="00CA3DC9">
              <w:rPr>
                <w:rFonts w:ascii="Arial" w:hAnsi="Arial" w:cs="Arial"/>
                <w:bCs/>
                <w:sz w:val="24"/>
                <w:szCs w:val="24"/>
              </w:rPr>
              <w:t>con los fines de proteger</w:t>
            </w:r>
            <w:r w:rsidRPr="00CA3DC9">
              <w:rPr>
                <w:rFonts w:ascii="Arial" w:hAnsi="Arial" w:cs="Arial"/>
                <w:bCs/>
                <w:sz w:val="24"/>
                <w:szCs w:val="24"/>
              </w:rPr>
              <w:t xml:space="preserve"> las garantías procesales</w:t>
            </w:r>
            <w:r w:rsidR="007D2F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D2FDE" w:rsidRPr="00CA3DC9">
              <w:rPr>
                <w:rFonts w:ascii="Arial" w:hAnsi="Arial" w:cs="Arial"/>
                <w:bCs/>
                <w:sz w:val="24"/>
                <w:szCs w:val="24"/>
              </w:rPr>
              <w:t>las bases fundamentales de la instrucción y el juzgamiento</w:t>
            </w:r>
            <w:r w:rsidRPr="00CA3DC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EC0DCF" w:rsidRPr="00CA3DC9">
              <w:rPr>
                <w:rFonts w:ascii="Arial" w:hAnsi="Arial" w:cs="Arial"/>
                <w:bCs/>
                <w:sz w:val="24"/>
                <w:szCs w:val="24"/>
              </w:rPr>
              <w:t xml:space="preserve">garantizar el derecho a la defensa durante </w:t>
            </w:r>
            <w:r w:rsidR="00AF7883">
              <w:rPr>
                <w:rFonts w:ascii="Arial" w:hAnsi="Arial" w:cs="Arial"/>
                <w:bCs/>
                <w:sz w:val="24"/>
                <w:szCs w:val="24"/>
              </w:rPr>
              <w:t xml:space="preserve">toda </w:t>
            </w:r>
            <w:r w:rsidR="00EC0DCF" w:rsidRPr="00CA3DC9">
              <w:rPr>
                <w:rFonts w:ascii="Arial" w:hAnsi="Arial" w:cs="Arial"/>
                <w:bCs/>
                <w:sz w:val="24"/>
                <w:szCs w:val="24"/>
              </w:rPr>
              <w:t xml:space="preserve">la actuación disciplinara al investigado </w:t>
            </w:r>
            <w:r w:rsidRPr="00CA3DC9">
              <w:rPr>
                <w:rFonts w:ascii="Arial" w:hAnsi="Arial" w:cs="Arial"/>
                <w:bCs/>
                <w:sz w:val="24"/>
                <w:szCs w:val="24"/>
              </w:rPr>
              <w:t xml:space="preserve">y </w:t>
            </w:r>
            <w:r w:rsidR="00AF7883">
              <w:rPr>
                <w:rFonts w:ascii="Arial" w:hAnsi="Arial" w:cs="Arial"/>
                <w:bCs/>
                <w:sz w:val="24"/>
                <w:szCs w:val="24"/>
              </w:rPr>
              <w:t xml:space="preserve">así también como </w:t>
            </w:r>
            <w:r w:rsidR="00CA3DC9" w:rsidRPr="00CA3DC9">
              <w:rPr>
                <w:rFonts w:ascii="Arial" w:hAnsi="Arial" w:cs="Arial"/>
                <w:bCs/>
                <w:sz w:val="24"/>
                <w:szCs w:val="24"/>
              </w:rPr>
              <w:t>para dejar la información documentada</w:t>
            </w:r>
            <w:r w:rsidR="00AF7883">
              <w:rPr>
                <w:rFonts w:ascii="Arial" w:hAnsi="Arial" w:cs="Arial"/>
                <w:bCs/>
                <w:sz w:val="24"/>
                <w:szCs w:val="24"/>
              </w:rPr>
              <w:t xml:space="preserve"> de cada Proceso y procedimiento en el SGC</w:t>
            </w:r>
            <w:r w:rsidRPr="00CA3DC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</w:tc>
      </w:tr>
    </w:tbl>
    <w:p w:rsidR="00FD5448" w:rsidRDefault="00FD5448" w:rsidP="00786B2A">
      <w:pPr>
        <w:tabs>
          <w:tab w:val="left" w:pos="2960"/>
        </w:tabs>
        <w:ind w:left="36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9A3786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A3786" w:rsidRPr="009A3786">
        <w:rPr>
          <w:rFonts w:ascii="Arial" w:hAnsi="Arial" w:cs="Arial"/>
          <w:b/>
          <w:sz w:val="24"/>
          <w:szCs w:val="24"/>
          <w:lang w:val="es-CO"/>
        </w:rPr>
        <w:t>_____________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>
        <w:rPr>
          <w:rFonts w:ascii="Arial" w:hAnsi="Arial" w:cs="Arial"/>
          <w:b/>
          <w:sz w:val="24"/>
          <w:szCs w:val="24"/>
          <w:lang w:val="es-CO"/>
        </w:rPr>
        <w:t>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</w:t>
      </w:r>
      <w:r w:rsidR="0046004A" w:rsidRPr="009A3786">
        <w:rPr>
          <w:rFonts w:ascii="Arial" w:hAnsi="Arial" w:cs="Arial"/>
          <w:b/>
          <w:sz w:val="24"/>
          <w:szCs w:val="24"/>
          <w:lang w:val="es-CO"/>
        </w:rPr>
        <w:t>___________</w:t>
      </w:r>
      <w:r w:rsidR="00492DDE" w:rsidRPr="009A3786">
        <w:rPr>
          <w:rFonts w:ascii="Arial" w:hAnsi="Arial" w:cs="Arial"/>
          <w:b/>
          <w:sz w:val="24"/>
          <w:szCs w:val="24"/>
          <w:lang w:val="es-CO"/>
        </w:rPr>
        <w:t>__________</w:t>
      </w:r>
    </w:p>
    <w:p w:rsidR="006F204F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>
        <w:rPr>
          <w:rFonts w:ascii="Arial" w:hAnsi="Arial" w:cs="Arial"/>
          <w:b/>
          <w:sz w:val="24"/>
          <w:szCs w:val="24"/>
          <w:lang w:val="es-CO"/>
        </w:rPr>
        <w:t>AUDITADO</w:t>
      </w:r>
      <w:r w:rsidR="006F204F">
        <w:rPr>
          <w:rFonts w:ascii="Arial" w:hAnsi="Arial" w:cs="Arial"/>
          <w:b/>
          <w:sz w:val="24"/>
          <w:szCs w:val="24"/>
          <w:lang w:val="es-CO"/>
        </w:rPr>
        <w:t>:</w:t>
      </w:r>
      <w:r w:rsidR="00BB6908">
        <w:rPr>
          <w:rFonts w:ascii="Arial" w:hAnsi="Arial" w:cs="Arial"/>
          <w:b/>
          <w:sz w:val="24"/>
          <w:szCs w:val="24"/>
          <w:lang w:val="es-CO"/>
        </w:rPr>
        <w:t>_________</w:t>
      </w:r>
      <w:r w:rsidR="006F204F">
        <w:rPr>
          <w:rFonts w:ascii="Arial" w:hAnsi="Arial" w:cs="Arial"/>
          <w:b/>
          <w:sz w:val="24"/>
          <w:szCs w:val="24"/>
          <w:lang w:val="es-CO"/>
        </w:rPr>
        <w:t>_______________________</w:t>
      </w:r>
      <w:r w:rsidR="00F50967">
        <w:rPr>
          <w:rFonts w:ascii="Arial" w:hAnsi="Arial" w:cs="Arial"/>
          <w:b/>
          <w:sz w:val="24"/>
          <w:szCs w:val="24"/>
          <w:lang w:val="es-CO"/>
        </w:rPr>
        <w:t>__</w:t>
      </w:r>
      <w:r w:rsidR="00E66563">
        <w:rPr>
          <w:rFonts w:ascii="Arial" w:hAnsi="Arial" w:cs="Arial"/>
          <w:b/>
          <w:sz w:val="24"/>
          <w:szCs w:val="24"/>
          <w:lang w:val="es-CO"/>
        </w:rPr>
        <w:t>_____________________</w:t>
      </w:r>
    </w:p>
    <w:p w:rsidR="00FE3D69" w:rsidRPr="009A3786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E56280">
        <w:rPr>
          <w:rFonts w:ascii="Arial" w:hAnsi="Arial" w:cs="Arial"/>
          <w:b/>
          <w:sz w:val="24"/>
          <w:szCs w:val="24"/>
          <w:lang w:val="es-CO"/>
        </w:rPr>
        <w:t>____</w:t>
      </w:r>
      <w:r>
        <w:rPr>
          <w:rFonts w:ascii="Arial" w:hAnsi="Arial" w:cs="Arial"/>
          <w:b/>
          <w:sz w:val="24"/>
          <w:szCs w:val="24"/>
          <w:lang w:val="es-CO"/>
        </w:rPr>
        <w:t>________________________________</w:t>
      </w:r>
      <w:r w:rsidR="002C04CF">
        <w:rPr>
          <w:rFonts w:ascii="Arial" w:hAnsi="Arial" w:cs="Arial"/>
          <w:b/>
          <w:sz w:val="24"/>
          <w:szCs w:val="24"/>
          <w:lang w:val="es-CO"/>
        </w:rPr>
        <w:t>___</w:t>
      </w:r>
    </w:p>
    <w:sectPr w:rsidR="00FE3D69" w:rsidRPr="009A3786" w:rsidSect="002C0AE3">
      <w:headerReference w:type="default" r:id="rId8"/>
      <w:footerReference w:type="default" r:id="rId9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519" w:rsidRDefault="002E0519">
      <w:r>
        <w:separator/>
      </w:r>
    </w:p>
  </w:endnote>
  <w:endnote w:type="continuationSeparator" w:id="0">
    <w:p w:rsidR="002E0519" w:rsidRDefault="002E0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E0519" w:rsidRPr="00E25F48" w:rsidTr="00E30FD9">
      <w:tc>
        <w:tcPr>
          <w:tcW w:w="5796" w:type="dxa"/>
          <w:shd w:val="clear" w:color="auto" w:fill="auto"/>
        </w:tcPr>
        <w:p w:rsidR="002E0519" w:rsidRPr="00E25F48" w:rsidRDefault="002E0519" w:rsidP="00E30FD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E0519" w:rsidRPr="00E25F48" w:rsidRDefault="002E0519" w:rsidP="00E30FD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0519" w:rsidRDefault="002E0519" w:rsidP="002C0A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519" w:rsidRDefault="002E0519">
      <w:r>
        <w:separator/>
      </w:r>
    </w:p>
  </w:footnote>
  <w:footnote w:type="continuationSeparator" w:id="0">
    <w:p w:rsidR="002E0519" w:rsidRDefault="002E0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19" w:rsidRDefault="002E0519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18"/>
      <w:gridCol w:w="4820"/>
      <w:gridCol w:w="2545"/>
    </w:tblGrid>
    <w:tr w:rsidR="002E0519" w:rsidRPr="008270E8" w:rsidTr="00AA0BF4">
      <w:trPr>
        <w:trHeight w:hRule="exact" w:val="500"/>
      </w:trPr>
      <w:tc>
        <w:tcPr>
          <w:tcW w:w="2518" w:type="dxa"/>
          <w:vMerge w:val="restart"/>
          <w:vAlign w:val="center"/>
        </w:tcPr>
        <w:p w:rsidR="002E0519" w:rsidRPr="008270E8" w:rsidRDefault="002E0519" w:rsidP="00E30FD9">
          <w:pPr>
            <w:jc w:val="center"/>
          </w:pPr>
          <w:r w:rsidRPr="00A73DF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E0519" w:rsidRPr="008270E8" w:rsidRDefault="002E0519" w:rsidP="00E30FD9">
          <w:pPr>
            <w:jc w:val="center"/>
          </w:pPr>
        </w:p>
      </w:tc>
      <w:tc>
        <w:tcPr>
          <w:tcW w:w="4820" w:type="dxa"/>
          <w:vMerge w:val="restart"/>
          <w:vAlign w:val="center"/>
        </w:tcPr>
        <w:p w:rsidR="002E0519" w:rsidRDefault="002E0519" w:rsidP="00E30FD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2E0519" w:rsidRPr="009C4E7E" w:rsidRDefault="002E0519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2E0519" w:rsidRPr="009C4E7E" w:rsidRDefault="002E0519" w:rsidP="00E30FD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2E0519" w:rsidRPr="008270E8" w:rsidRDefault="002E0519" w:rsidP="00F534D4">
          <w:pPr>
            <w:jc w:val="center"/>
          </w:pPr>
        </w:p>
      </w:tc>
      <w:tc>
        <w:tcPr>
          <w:tcW w:w="2545" w:type="dxa"/>
          <w:vAlign w:val="center"/>
        </w:tcPr>
        <w:p w:rsidR="002E0519" w:rsidRPr="008270E8" w:rsidRDefault="002E0519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FEM-09</w:t>
          </w:r>
        </w:p>
      </w:tc>
    </w:tr>
    <w:tr w:rsidR="002E0519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2E0519" w:rsidRPr="008270E8" w:rsidRDefault="002E0519" w:rsidP="00E30FD9">
          <w:pPr>
            <w:jc w:val="center"/>
          </w:pPr>
        </w:p>
      </w:tc>
      <w:tc>
        <w:tcPr>
          <w:tcW w:w="4820" w:type="dxa"/>
          <w:vMerge/>
          <w:vAlign w:val="center"/>
        </w:tcPr>
        <w:p w:rsidR="002E0519" w:rsidRDefault="002E0519" w:rsidP="00E30FD9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2E0519" w:rsidRPr="008270E8" w:rsidRDefault="002E0519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  <w:tr w:rsidR="002E0519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2E0519" w:rsidRPr="008270E8" w:rsidRDefault="002E0519" w:rsidP="00E30FD9">
          <w:pPr>
            <w:jc w:val="center"/>
          </w:pPr>
        </w:p>
      </w:tc>
      <w:tc>
        <w:tcPr>
          <w:tcW w:w="4820" w:type="dxa"/>
          <w:vMerge/>
          <w:vAlign w:val="center"/>
        </w:tcPr>
        <w:p w:rsidR="002E0519" w:rsidRDefault="002E0519" w:rsidP="00E30FD9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2E0519" w:rsidRPr="008270E8" w:rsidRDefault="002E0519" w:rsidP="002C0AE3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>
            <w:rPr>
              <w:rFonts w:ascii="Arial" w:hAnsi="Arial" w:cs="Arial"/>
              <w:b/>
              <w:sz w:val="24"/>
              <w:szCs w:val="24"/>
            </w:rPr>
            <w:t>echa: 24/02/2022</w:t>
          </w:r>
        </w:p>
      </w:tc>
    </w:tr>
  </w:tbl>
  <w:p w:rsidR="002E0519" w:rsidRDefault="002E051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621CE"/>
    <w:multiLevelType w:val="hybridMultilevel"/>
    <w:tmpl w:val="02282A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6A5F81"/>
    <w:multiLevelType w:val="hybridMultilevel"/>
    <w:tmpl w:val="4678F4A8"/>
    <w:lvl w:ilvl="0" w:tplc="C562FA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1433F"/>
    <w:rsid w:val="00020DE7"/>
    <w:rsid w:val="00025CEC"/>
    <w:rsid w:val="0002601D"/>
    <w:rsid w:val="00041606"/>
    <w:rsid w:val="00042B2A"/>
    <w:rsid w:val="0004335D"/>
    <w:rsid w:val="00057516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5547"/>
    <w:rsid w:val="000A10E9"/>
    <w:rsid w:val="000A3AFE"/>
    <w:rsid w:val="000A410C"/>
    <w:rsid w:val="000A5350"/>
    <w:rsid w:val="000B3C3A"/>
    <w:rsid w:val="000B5F56"/>
    <w:rsid w:val="000C1B16"/>
    <w:rsid w:val="000C2476"/>
    <w:rsid w:val="000C329E"/>
    <w:rsid w:val="000C3817"/>
    <w:rsid w:val="000D386A"/>
    <w:rsid w:val="000E1AB2"/>
    <w:rsid w:val="000E2B76"/>
    <w:rsid w:val="000E55E2"/>
    <w:rsid w:val="000E5A37"/>
    <w:rsid w:val="000F7181"/>
    <w:rsid w:val="00101355"/>
    <w:rsid w:val="00107440"/>
    <w:rsid w:val="0011334E"/>
    <w:rsid w:val="00114768"/>
    <w:rsid w:val="00114ACC"/>
    <w:rsid w:val="00121365"/>
    <w:rsid w:val="00130938"/>
    <w:rsid w:val="00140656"/>
    <w:rsid w:val="00143898"/>
    <w:rsid w:val="001456BA"/>
    <w:rsid w:val="0015198E"/>
    <w:rsid w:val="0016514D"/>
    <w:rsid w:val="0016538C"/>
    <w:rsid w:val="00170630"/>
    <w:rsid w:val="0017069F"/>
    <w:rsid w:val="001742D7"/>
    <w:rsid w:val="00175B85"/>
    <w:rsid w:val="00196ACA"/>
    <w:rsid w:val="001A10FA"/>
    <w:rsid w:val="001A4F97"/>
    <w:rsid w:val="001A5D5B"/>
    <w:rsid w:val="001B23EB"/>
    <w:rsid w:val="001B3776"/>
    <w:rsid w:val="001C34D0"/>
    <w:rsid w:val="001F0255"/>
    <w:rsid w:val="002014D1"/>
    <w:rsid w:val="002016E5"/>
    <w:rsid w:val="00217908"/>
    <w:rsid w:val="0022019F"/>
    <w:rsid w:val="00222675"/>
    <w:rsid w:val="002237AD"/>
    <w:rsid w:val="0022634E"/>
    <w:rsid w:val="00233BAC"/>
    <w:rsid w:val="002409EA"/>
    <w:rsid w:val="00242C88"/>
    <w:rsid w:val="00246040"/>
    <w:rsid w:val="0025597D"/>
    <w:rsid w:val="002724D8"/>
    <w:rsid w:val="002741FD"/>
    <w:rsid w:val="002758B0"/>
    <w:rsid w:val="00280F57"/>
    <w:rsid w:val="0028536C"/>
    <w:rsid w:val="00286D12"/>
    <w:rsid w:val="0029473B"/>
    <w:rsid w:val="00295EA5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098B"/>
    <w:rsid w:val="002D5E03"/>
    <w:rsid w:val="002E0519"/>
    <w:rsid w:val="002E2124"/>
    <w:rsid w:val="002F09EF"/>
    <w:rsid w:val="002F6C2D"/>
    <w:rsid w:val="003018BD"/>
    <w:rsid w:val="0030492E"/>
    <w:rsid w:val="003054E9"/>
    <w:rsid w:val="003063FC"/>
    <w:rsid w:val="00307895"/>
    <w:rsid w:val="00320A5B"/>
    <w:rsid w:val="0032450A"/>
    <w:rsid w:val="003331E9"/>
    <w:rsid w:val="00333EFF"/>
    <w:rsid w:val="00336B3A"/>
    <w:rsid w:val="00346DB6"/>
    <w:rsid w:val="00352D65"/>
    <w:rsid w:val="003739F9"/>
    <w:rsid w:val="00376AD6"/>
    <w:rsid w:val="00384478"/>
    <w:rsid w:val="003968B6"/>
    <w:rsid w:val="003A0489"/>
    <w:rsid w:val="003A6FCB"/>
    <w:rsid w:val="003A7BB7"/>
    <w:rsid w:val="003B22F4"/>
    <w:rsid w:val="003B6B9F"/>
    <w:rsid w:val="003C385D"/>
    <w:rsid w:val="003C5996"/>
    <w:rsid w:val="003D1288"/>
    <w:rsid w:val="003D471C"/>
    <w:rsid w:val="003E1596"/>
    <w:rsid w:val="003F07E8"/>
    <w:rsid w:val="003F4715"/>
    <w:rsid w:val="003F5A6C"/>
    <w:rsid w:val="004008FD"/>
    <w:rsid w:val="00412C2B"/>
    <w:rsid w:val="00412D43"/>
    <w:rsid w:val="004130D1"/>
    <w:rsid w:val="0041715E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B4798"/>
    <w:rsid w:val="004B5A6C"/>
    <w:rsid w:val="004B7F9B"/>
    <w:rsid w:val="004D1165"/>
    <w:rsid w:val="004D14BA"/>
    <w:rsid w:val="004D388E"/>
    <w:rsid w:val="004E45FA"/>
    <w:rsid w:val="004E5480"/>
    <w:rsid w:val="004E557E"/>
    <w:rsid w:val="004E768A"/>
    <w:rsid w:val="005335D7"/>
    <w:rsid w:val="00540725"/>
    <w:rsid w:val="00543F4D"/>
    <w:rsid w:val="0054744A"/>
    <w:rsid w:val="00553F2D"/>
    <w:rsid w:val="00561402"/>
    <w:rsid w:val="00571C01"/>
    <w:rsid w:val="0057291C"/>
    <w:rsid w:val="0058087E"/>
    <w:rsid w:val="00580891"/>
    <w:rsid w:val="00580DEA"/>
    <w:rsid w:val="005810F8"/>
    <w:rsid w:val="005B4FA3"/>
    <w:rsid w:val="005B6833"/>
    <w:rsid w:val="005B7F1F"/>
    <w:rsid w:val="005C0072"/>
    <w:rsid w:val="005C3C0B"/>
    <w:rsid w:val="005D2805"/>
    <w:rsid w:val="005D6022"/>
    <w:rsid w:val="005E3B07"/>
    <w:rsid w:val="005E59F5"/>
    <w:rsid w:val="005F43A9"/>
    <w:rsid w:val="005F4620"/>
    <w:rsid w:val="00605E3C"/>
    <w:rsid w:val="0061236E"/>
    <w:rsid w:val="00617525"/>
    <w:rsid w:val="00640C27"/>
    <w:rsid w:val="006470DD"/>
    <w:rsid w:val="00655251"/>
    <w:rsid w:val="006627A5"/>
    <w:rsid w:val="00671DEC"/>
    <w:rsid w:val="00672849"/>
    <w:rsid w:val="006820ED"/>
    <w:rsid w:val="00685A35"/>
    <w:rsid w:val="00685C4D"/>
    <w:rsid w:val="00696B61"/>
    <w:rsid w:val="006978C8"/>
    <w:rsid w:val="006A2526"/>
    <w:rsid w:val="006A283F"/>
    <w:rsid w:val="006B1554"/>
    <w:rsid w:val="006C2285"/>
    <w:rsid w:val="006C3F75"/>
    <w:rsid w:val="006D2CD1"/>
    <w:rsid w:val="006D7A99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0CFF"/>
    <w:rsid w:val="00753138"/>
    <w:rsid w:val="007551F8"/>
    <w:rsid w:val="00766870"/>
    <w:rsid w:val="00776456"/>
    <w:rsid w:val="0078254C"/>
    <w:rsid w:val="00786B2A"/>
    <w:rsid w:val="007938D0"/>
    <w:rsid w:val="007A79C9"/>
    <w:rsid w:val="007B6EA9"/>
    <w:rsid w:val="007B6EFE"/>
    <w:rsid w:val="007C177F"/>
    <w:rsid w:val="007C3713"/>
    <w:rsid w:val="007D1B81"/>
    <w:rsid w:val="007D2FDE"/>
    <w:rsid w:val="007D728D"/>
    <w:rsid w:val="007F40C2"/>
    <w:rsid w:val="008041C7"/>
    <w:rsid w:val="00805003"/>
    <w:rsid w:val="0080772A"/>
    <w:rsid w:val="008112DB"/>
    <w:rsid w:val="00811CEA"/>
    <w:rsid w:val="00830229"/>
    <w:rsid w:val="00830DE0"/>
    <w:rsid w:val="008324A0"/>
    <w:rsid w:val="0084496E"/>
    <w:rsid w:val="008477FF"/>
    <w:rsid w:val="00851663"/>
    <w:rsid w:val="008518D1"/>
    <w:rsid w:val="008530DE"/>
    <w:rsid w:val="008614D8"/>
    <w:rsid w:val="00863572"/>
    <w:rsid w:val="00863A77"/>
    <w:rsid w:val="008E2D43"/>
    <w:rsid w:val="008E7AE1"/>
    <w:rsid w:val="008F70ED"/>
    <w:rsid w:val="00915022"/>
    <w:rsid w:val="00923BC3"/>
    <w:rsid w:val="00932C77"/>
    <w:rsid w:val="00943A22"/>
    <w:rsid w:val="00953B3E"/>
    <w:rsid w:val="00962BF6"/>
    <w:rsid w:val="009639F4"/>
    <w:rsid w:val="00967D91"/>
    <w:rsid w:val="00973C0C"/>
    <w:rsid w:val="00975537"/>
    <w:rsid w:val="0099139D"/>
    <w:rsid w:val="0099605B"/>
    <w:rsid w:val="0099754A"/>
    <w:rsid w:val="009A13F8"/>
    <w:rsid w:val="009A3786"/>
    <w:rsid w:val="009C1831"/>
    <w:rsid w:val="009C5757"/>
    <w:rsid w:val="009D0C1B"/>
    <w:rsid w:val="009D2091"/>
    <w:rsid w:val="009D270A"/>
    <w:rsid w:val="009F1A48"/>
    <w:rsid w:val="009F1BBD"/>
    <w:rsid w:val="00A0198B"/>
    <w:rsid w:val="00A0415D"/>
    <w:rsid w:val="00A0497F"/>
    <w:rsid w:val="00A10426"/>
    <w:rsid w:val="00A12F92"/>
    <w:rsid w:val="00A22426"/>
    <w:rsid w:val="00A46D78"/>
    <w:rsid w:val="00A50288"/>
    <w:rsid w:val="00A608C8"/>
    <w:rsid w:val="00A63700"/>
    <w:rsid w:val="00A73203"/>
    <w:rsid w:val="00A73DFE"/>
    <w:rsid w:val="00A75E18"/>
    <w:rsid w:val="00A826F9"/>
    <w:rsid w:val="00A830EB"/>
    <w:rsid w:val="00A83F4B"/>
    <w:rsid w:val="00A84B8A"/>
    <w:rsid w:val="00A85CCE"/>
    <w:rsid w:val="00AA0BF4"/>
    <w:rsid w:val="00AD5B0F"/>
    <w:rsid w:val="00AE39C0"/>
    <w:rsid w:val="00AF7531"/>
    <w:rsid w:val="00AF7883"/>
    <w:rsid w:val="00B01531"/>
    <w:rsid w:val="00B15171"/>
    <w:rsid w:val="00B16008"/>
    <w:rsid w:val="00B16C4E"/>
    <w:rsid w:val="00B16C7A"/>
    <w:rsid w:val="00B20A45"/>
    <w:rsid w:val="00B23A77"/>
    <w:rsid w:val="00B33081"/>
    <w:rsid w:val="00B357AC"/>
    <w:rsid w:val="00B41E0D"/>
    <w:rsid w:val="00B47DB7"/>
    <w:rsid w:val="00B5418F"/>
    <w:rsid w:val="00B56F87"/>
    <w:rsid w:val="00B62676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3C3A"/>
    <w:rsid w:val="00C46941"/>
    <w:rsid w:val="00C6013E"/>
    <w:rsid w:val="00C71610"/>
    <w:rsid w:val="00C72E74"/>
    <w:rsid w:val="00C80406"/>
    <w:rsid w:val="00C90C3B"/>
    <w:rsid w:val="00CA0925"/>
    <w:rsid w:val="00CA2783"/>
    <w:rsid w:val="00CA3DC9"/>
    <w:rsid w:val="00CA6ECA"/>
    <w:rsid w:val="00CA73EC"/>
    <w:rsid w:val="00CA75A1"/>
    <w:rsid w:val="00CB31B1"/>
    <w:rsid w:val="00CB6B5F"/>
    <w:rsid w:val="00CC1085"/>
    <w:rsid w:val="00CC12C9"/>
    <w:rsid w:val="00CC5718"/>
    <w:rsid w:val="00CC6FBA"/>
    <w:rsid w:val="00CD2603"/>
    <w:rsid w:val="00CD610B"/>
    <w:rsid w:val="00CE598F"/>
    <w:rsid w:val="00CE6AD4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354C"/>
    <w:rsid w:val="00D34115"/>
    <w:rsid w:val="00D36973"/>
    <w:rsid w:val="00D37A0F"/>
    <w:rsid w:val="00D44765"/>
    <w:rsid w:val="00D67AA0"/>
    <w:rsid w:val="00D71680"/>
    <w:rsid w:val="00D808E1"/>
    <w:rsid w:val="00D901C3"/>
    <w:rsid w:val="00D92D90"/>
    <w:rsid w:val="00DA0AB8"/>
    <w:rsid w:val="00DA530E"/>
    <w:rsid w:val="00DB3798"/>
    <w:rsid w:val="00DC150C"/>
    <w:rsid w:val="00DC1AAA"/>
    <w:rsid w:val="00DD5147"/>
    <w:rsid w:val="00DE003F"/>
    <w:rsid w:val="00DF2C0E"/>
    <w:rsid w:val="00DF70A0"/>
    <w:rsid w:val="00DF7C5C"/>
    <w:rsid w:val="00E16085"/>
    <w:rsid w:val="00E23E16"/>
    <w:rsid w:val="00E27A8A"/>
    <w:rsid w:val="00E30FD9"/>
    <w:rsid w:val="00E512AC"/>
    <w:rsid w:val="00E56280"/>
    <w:rsid w:val="00E66563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0DCF"/>
    <w:rsid w:val="00EC3392"/>
    <w:rsid w:val="00ED68D6"/>
    <w:rsid w:val="00EE1BC5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36396"/>
    <w:rsid w:val="00F50967"/>
    <w:rsid w:val="00F534D4"/>
    <w:rsid w:val="00F611EA"/>
    <w:rsid w:val="00F627FF"/>
    <w:rsid w:val="00F8331B"/>
    <w:rsid w:val="00F843E3"/>
    <w:rsid w:val="00F848E8"/>
    <w:rsid w:val="00F86784"/>
    <w:rsid w:val="00F91031"/>
    <w:rsid w:val="00F953F4"/>
    <w:rsid w:val="00F95F9D"/>
    <w:rsid w:val="00FA3F44"/>
    <w:rsid w:val="00FA5406"/>
    <w:rsid w:val="00FB2CE2"/>
    <w:rsid w:val="00FB7165"/>
    <w:rsid w:val="00FC7F83"/>
    <w:rsid w:val="00FD5448"/>
    <w:rsid w:val="00FE3D69"/>
    <w:rsid w:val="00FF4CEF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  <w:style w:type="character" w:styleId="Textoennegrita">
    <w:name w:val="Strong"/>
    <w:basedOn w:val="Fuentedeprrafopredeter"/>
    <w:uiPriority w:val="22"/>
    <w:qFormat/>
    <w:rsid w:val="005E3B07"/>
    <w:rPr>
      <w:b/>
      <w:bCs/>
    </w:rPr>
  </w:style>
  <w:style w:type="paragraph" w:styleId="Sinespaciado">
    <w:name w:val="No Spacing"/>
    <w:uiPriority w:val="1"/>
    <w:qFormat/>
    <w:rsid w:val="00AF7883"/>
    <w:rPr>
      <w:rFonts w:ascii="Calibri" w:eastAsia="Calibri" w:hAnsi="Calibri"/>
      <w:sz w:val="22"/>
      <w:szCs w:val="22"/>
      <w:lang w:val="es-CO" w:eastAsia="en-US"/>
    </w:rPr>
  </w:style>
  <w:style w:type="character" w:customStyle="1" w:styleId="hgkelc">
    <w:name w:val="hgkelc"/>
    <w:basedOn w:val="Fuentedeprrafopredeter"/>
    <w:rsid w:val="007938D0"/>
  </w:style>
  <w:style w:type="paragraph" w:styleId="Prrafodelista">
    <w:name w:val="List Paragraph"/>
    <w:basedOn w:val="Normal"/>
    <w:uiPriority w:val="34"/>
    <w:qFormat/>
    <w:rsid w:val="007938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2215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32</cp:revision>
  <cp:lastPrinted>2024-02-13T16:12:00Z</cp:lastPrinted>
  <dcterms:created xsi:type="dcterms:W3CDTF">2015-06-22T22:04:00Z</dcterms:created>
  <dcterms:modified xsi:type="dcterms:W3CDTF">2024-02-13T16:45:00Z</dcterms:modified>
</cp:coreProperties>
</file>