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9E9" w:rsidRDefault="008E09E9">
      <w:r>
        <w:rPr>
          <w:rStyle w:val="Textoennegrita"/>
          <w:rFonts w:ascii="Arial" w:hAnsi="Arial" w:cs="Arial"/>
          <w:color w:val="333333"/>
          <w:sz w:val="23"/>
          <w:szCs w:val="23"/>
          <w:shd w:val="clear" w:color="auto" w:fill="FFFFFF"/>
        </w:rPr>
        <w:t>PROCEDIMIENTO</w:t>
      </w:r>
    </w:p>
    <w:p w:rsidR="008E09E9" w:rsidRDefault="008E09E9" w:rsidP="008E09E9">
      <w:r>
        <w:rPr>
          <w:rFonts w:ascii="Arial" w:hAnsi="Arial" w:cs="Arial"/>
          <w:color w:val="333333"/>
          <w:sz w:val="31"/>
          <w:szCs w:val="31"/>
          <w:shd w:val="clear" w:color="auto" w:fill="FFFFFF"/>
        </w:rPr>
        <w:t>Modificado por el artículo </w:t>
      </w:r>
      <w:hyperlink r:id="rId4" w:history="1">
        <w:r>
          <w:rPr>
            <w:rStyle w:val="Hipervnculo"/>
            <w:rFonts w:ascii="Arial" w:hAnsi="Arial" w:cs="Arial"/>
            <w:color w:val="007BFF"/>
            <w:sz w:val="31"/>
            <w:szCs w:val="31"/>
            <w:shd w:val="clear" w:color="auto" w:fill="FFFFFF"/>
          </w:rPr>
          <w:t>34 </w:t>
        </w:r>
      </w:hyperlink>
      <w:r>
        <w:rPr>
          <w:rFonts w:ascii="Arial" w:hAnsi="Arial" w:cs="Arial"/>
          <w:color w:val="333333"/>
          <w:sz w:val="31"/>
          <w:szCs w:val="31"/>
          <w:shd w:val="clear" w:color="auto" w:fill="FFFFFF"/>
        </w:rPr>
        <w:t>de la Ley 2094 de 2021)</w:t>
      </w:r>
    </w:p>
    <w:p w:rsidR="008E09E9" w:rsidRPr="008E09E9" w:rsidRDefault="008E09E9" w:rsidP="008E09E9">
      <w:pPr>
        <w:jc w:val="both"/>
        <w:rPr>
          <w:rStyle w:val="Textoennegrita"/>
          <w:rFonts w:ascii="Arial" w:hAnsi="Arial" w:cs="Arial"/>
          <w:b w:val="0"/>
          <w:color w:val="333333"/>
          <w:sz w:val="23"/>
          <w:szCs w:val="23"/>
          <w:shd w:val="clear" w:color="auto" w:fill="FFFFFF"/>
        </w:rPr>
      </w:pPr>
      <w:r w:rsidRPr="008E09E9">
        <w:rPr>
          <w:rStyle w:val="Textoennegrita"/>
          <w:rFonts w:ascii="Arial" w:hAnsi="Arial" w:cs="Arial"/>
          <w:b w:val="0"/>
          <w:color w:val="333333"/>
          <w:sz w:val="23"/>
          <w:szCs w:val="23"/>
          <w:shd w:val="clear" w:color="auto" w:fill="FFFFFF"/>
        </w:rPr>
        <w:t>INDAGACION PREVIA: n caso de duda sobre la identificación o individualización del posible autor de una falta disciplinaria, se adelantará indagación previa.</w:t>
      </w:r>
    </w:p>
    <w:p w:rsidR="00033D8F" w:rsidRDefault="008E09E9" w:rsidP="008E09E9">
      <w:pPr>
        <w:rPr>
          <w:rFonts w:ascii="Arial" w:hAnsi="Arial" w:cs="Arial"/>
          <w:color w:val="333333"/>
          <w:sz w:val="23"/>
          <w:szCs w:val="23"/>
          <w:shd w:val="clear" w:color="auto" w:fill="FFFFFF"/>
        </w:rPr>
      </w:pPr>
      <w:r>
        <w:rPr>
          <w:rStyle w:val="Textoennegrita"/>
          <w:rFonts w:ascii="Arial" w:hAnsi="Arial" w:cs="Arial"/>
          <w:color w:val="333333"/>
          <w:sz w:val="23"/>
          <w:szCs w:val="23"/>
          <w:shd w:val="clear" w:color="auto" w:fill="FFFFFF"/>
        </w:rPr>
        <w:t>D</w:t>
      </w:r>
      <w:r>
        <w:rPr>
          <w:rFonts w:ascii="Arial" w:hAnsi="Arial" w:cs="Arial"/>
          <w:color w:val="333333"/>
          <w:sz w:val="23"/>
          <w:szCs w:val="23"/>
          <w:shd w:val="clear" w:color="auto" w:fill="FFFFFF"/>
        </w:rPr>
        <w:t>uración de seis (6) meses y culminará con el archivo definitivo o auto de apertura de investigación.</w:t>
      </w:r>
    </w:p>
    <w:p w:rsidR="008E09E9" w:rsidRDefault="008E09E9" w:rsidP="008E09E9">
      <w:pPr>
        <w:rPr>
          <w:rFonts w:ascii="Arial" w:hAnsi="Arial" w:cs="Arial"/>
          <w:color w:val="333333"/>
          <w:sz w:val="23"/>
          <w:szCs w:val="23"/>
          <w:shd w:val="clear" w:color="auto" w:fill="FFFFFF"/>
        </w:rPr>
      </w:pPr>
      <w:r>
        <w:rPr>
          <w:rFonts w:ascii="Arial" w:hAnsi="Arial" w:cs="Arial"/>
          <w:color w:val="333333"/>
          <w:sz w:val="23"/>
          <w:szCs w:val="23"/>
          <w:shd w:val="clear" w:color="auto" w:fill="FFFFFF"/>
        </w:rPr>
        <w:t>Cuando se trate de investigaciones por violación a los Derechos Humanos o al Derecho Internacional Humanitario, el término de indagación previa podrá extenderse a otros seis (6) meses.</w:t>
      </w:r>
    </w:p>
    <w:p w:rsidR="008E09E9" w:rsidRDefault="008E09E9">
      <w:r>
        <w:rPr>
          <w:rFonts w:ascii="Arial" w:hAnsi="Arial" w:cs="Arial"/>
          <w:color w:val="333333"/>
          <w:sz w:val="23"/>
          <w:szCs w:val="23"/>
          <w:shd w:val="clear" w:color="auto" w:fill="FFFFFF"/>
        </w:rPr>
        <w:t>Cuando a la actuación se allegue medio probatorio que permita identificar al presunto autor, inmediatamente se deberá emitir la decisión de apertura de investigación.</w:t>
      </w:r>
    </w:p>
    <w:p w:rsidR="008E09E9" w:rsidRDefault="008E09E9" w:rsidP="008E09E9">
      <w:pPr>
        <w:rPr>
          <w:rFonts w:ascii="Arial" w:hAnsi="Arial" w:cs="Arial"/>
          <w:color w:val="333333"/>
          <w:sz w:val="23"/>
          <w:szCs w:val="23"/>
          <w:shd w:val="clear" w:color="auto" w:fill="FFFFFF"/>
        </w:rPr>
      </w:pPr>
      <w:r>
        <w:rPr>
          <w:rFonts w:ascii="Arial" w:hAnsi="Arial" w:cs="Arial"/>
          <w:color w:val="333333"/>
          <w:sz w:val="31"/>
          <w:szCs w:val="31"/>
          <w:shd w:val="clear" w:color="auto" w:fill="FFFFFF"/>
        </w:rPr>
        <w:t> </w:t>
      </w:r>
      <w:r w:rsidRPr="008E09E9">
        <w:rPr>
          <w:rFonts w:ascii="Arial" w:hAnsi="Arial" w:cs="Arial"/>
          <w:color w:val="333333"/>
          <w:sz w:val="23"/>
          <w:szCs w:val="23"/>
          <w:shd w:val="clear" w:color="auto" w:fill="FFFFFF"/>
        </w:rPr>
        <w:t>Si en desarrollo de la indagación previa no se logra identificar o individualizar al posible autor o se determine que no procede la investigación disciplinaria, se ordenara su archivo. Esta decisión no hará tránsito a cosa juzgada material.</w:t>
      </w:r>
    </w:p>
    <w:p w:rsidR="008E09E9" w:rsidRDefault="008E09E9" w:rsidP="008E09E9">
      <w:pPr>
        <w:rPr>
          <w:rFonts w:ascii="Arial" w:hAnsi="Arial" w:cs="Arial"/>
          <w:color w:val="333333"/>
          <w:sz w:val="23"/>
          <w:szCs w:val="23"/>
          <w:shd w:val="clear" w:color="auto" w:fill="FFFFFF"/>
        </w:rPr>
      </w:pPr>
    </w:p>
    <w:p w:rsidR="008E09E9" w:rsidRDefault="00FE3270" w:rsidP="00FE3270">
      <w:pPr>
        <w:jc w:val="both"/>
        <w:rPr>
          <w:rFonts w:ascii="Arial" w:hAnsi="Arial" w:cs="Arial"/>
          <w:color w:val="333333"/>
          <w:sz w:val="23"/>
          <w:szCs w:val="23"/>
          <w:shd w:val="clear" w:color="auto" w:fill="FFFFFF"/>
        </w:rPr>
      </w:pPr>
      <w:r w:rsidRPr="00FE3270">
        <w:rPr>
          <w:rFonts w:ascii="Arial" w:hAnsi="Arial" w:cs="Arial"/>
          <w:color w:val="333333"/>
          <w:sz w:val="23"/>
          <w:szCs w:val="23"/>
          <w:shd w:val="clear" w:color="auto" w:fill="FFFFFF"/>
        </w:rPr>
        <w:t>ARTÍCULO 213. Termino de la investigación. La investigación tendrá una duración de seis (6) meses, contados a partir de la decisión de apertura. Este término podrá prorrogarse hasta en otro tanto, cuando en la misma actuación se investiguen varias faltas o a dos (2) o más servidores o particulares en ejercicio de función pública y culminará con el archivo definitivo o la notificación de la formulación del pliego de cargos.</w:t>
      </w:r>
    </w:p>
    <w:p w:rsidR="00FE3270" w:rsidRDefault="00FE3270" w:rsidP="00FE3270">
      <w:pPr>
        <w:jc w:val="both"/>
        <w:rPr>
          <w:rFonts w:ascii="Arial" w:hAnsi="Arial" w:cs="Arial"/>
          <w:color w:val="333333"/>
          <w:sz w:val="23"/>
          <w:szCs w:val="23"/>
          <w:shd w:val="clear" w:color="auto" w:fill="FFFFFF"/>
        </w:rPr>
      </w:pPr>
      <w:r w:rsidRPr="00FE3270">
        <w:rPr>
          <w:rFonts w:ascii="Arial" w:hAnsi="Arial" w:cs="Arial"/>
          <w:color w:val="333333"/>
          <w:sz w:val="23"/>
          <w:szCs w:val="23"/>
          <w:shd w:val="clear" w:color="auto" w:fill="FFFFFF"/>
        </w:rPr>
        <w:t>Cuando se trate de investigaciones por infracción al Derecho Internacional de los Derechos Humanos o al Derecho Internacional Humanitario, el término de investigación no podrá exceder de dieciocho (18) meses.</w:t>
      </w:r>
    </w:p>
    <w:p w:rsidR="008E09E9" w:rsidRDefault="008E09E9" w:rsidP="008E09E9">
      <w:pPr>
        <w:jc w:val="both"/>
        <w:rPr>
          <w:rFonts w:ascii="Arial" w:hAnsi="Arial" w:cs="Arial"/>
          <w:sz w:val="23"/>
          <w:szCs w:val="23"/>
        </w:rPr>
      </w:pPr>
      <w:r w:rsidRPr="008E09E9">
        <w:rPr>
          <w:rFonts w:ascii="Arial" w:hAnsi="Arial" w:cs="Arial"/>
          <w:sz w:val="23"/>
          <w:szCs w:val="23"/>
        </w:rPr>
        <w:t>ARTÍCULO 209. Decisión inhibitoria. Cuando la información o queja sea manifiestan-ente temeraria o se refiera a hechos disciplinariamente irrelevantes o de imposible ocurrencia o sean presentados de manera absolutamente inconcreta o difusa, o cuando la acción no puede iniciarse, el funcionario de plano se inhibirá de iniciar actuación alguna. Contra esta decisión no procede recurso.</w:t>
      </w:r>
    </w:p>
    <w:p w:rsidR="008E09E9" w:rsidRDefault="008E09E9" w:rsidP="008E09E9">
      <w:pPr>
        <w:jc w:val="both"/>
        <w:rPr>
          <w:rFonts w:ascii="Arial" w:hAnsi="Arial" w:cs="Arial"/>
          <w:sz w:val="23"/>
          <w:szCs w:val="23"/>
        </w:rPr>
      </w:pPr>
    </w:p>
    <w:p w:rsidR="008E09E9" w:rsidRDefault="008E09E9" w:rsidP="008E09E9">
      <w:pPr>
        <w:jc w:val="both"/>
        <w:rPr>
          <w:rFonts w:ascii="Arial" w:hAnsi="Arial" w:cs="Arial"/>
          <w:sz w:val="23"/>
          <w:szCs w:val="23"/>
        </w:rPr>
      </w:pPr>
      <w:r w:rsidRPr="008E09E9">
        <w:rPr>
          <w:rFonts w:ascii="Arial" w:hAnsi="Arial" w:cs="Arial"/>
          <w:sz w:val="23"/>
          <w:szCs w:val="23"/>
        </w:rPr>
        <w:t>ARTÍCULO 210. Quejas falsas o temerarias. Las quejas falsas o temerarias, una vez ejecutoriada la decisión que así lo reconoce, originaran responsabilidad patrimonial en contra del denunciante o quejoso exigible ante las autoridades judiciales competentes.</w:t>
      </w:r>
    </w:p>
    <w:p w:rsidR="0029797D" w:rsidRDefault="008E09E9" w:rsidP="008E09E9">
      <w:pPr>
        <w:jc w:val="both"/>
        <w:rPr>
          <w:rFonts w:ascii="Arial" w:hAnsi="Arial" w:cs="Arial"/>
          <w:sz w:val="23"/>
          <w:szCs w:val="23"/>
        </w:rPr>
      </w:pPr>
      <w:r w:rsidRPr="008E09E9">
        <w:rPr>
          <w:rFonts w:ascii="Arial" w:hAnsi="Arial" w:cs="Arial"/>
          <w:sz w:val="23"/>
          <w:szCs w:val="23"/>
        </w:rPr>
        <w:lastRenderedPageBreak/>
        <w:t>Advertida la temeridad de la queja en cualquier etapa del proceso, la autoridad disciplinaria podrá imponer una multa hasta de 180 salarios diarios mínimos legales vigentes. En tales casos, se citará al quejoso por parte de la autoridad disciplinaria para escuchar sus explicaciones, aporte pruebas y ejerza su derecho de contradicción. De no concurrir, se le designará un defensor de oficio que puede ser un defensor público o un estudiante de consultorio jurídico de Instituciones de Educación Superior legalmente reconocidas, con quien se surtirá la actuación. Escuchado el quejoso o su defensor, el funcionario resolverá en el término de cinco (5) días. Contra la decisión procede el recurso de reposición.</w:t>
      </w:r>
    </w:p>
    <w:p w:rsidR="0029797D" w:rsidRDefault="0029797D" w:rsidP="0029797D">
      <w:pPr>
        <w:rPr>
          <w:rFonts w:ascii="Arial" w:hAnsi="Arial" w:cs="Arial"/>
          <w:sz w:val="23"/>
          <w:szCs w:val="23"/>
        </w:rPr>
      </w:pPr>
      <w:r>
        <w:rPr>
          <w:rStyle w:val="Textoennegrita"/>
          <w:rFonts w:ascii="Arial" w:hAnsi="Arial" w:cs="Arial"/>
          <w:color w:val="333333"/>
          <w:sz w:val="31"/>
          <w:szCs w:val="31"/>
          <w:shd w:val="clear" w:color="auto" w:fill="FFFFFF"/>
        </w:rPr>
        <w:t>JUZGAMIENTO</w:t>
      </w:r>
    </w:p>
    <w:p w:rsidR="0029797D" w:rsidRPr="0029797D" w:rsidRDefault="0029797D" w:rsidP="0029797D">
      <w:pPr>
        <w:rPr>
          <w:rFonts w:ascii="Arial" w:hAnsi="Arial" w:cs="Arial"/>
          <w:sz w:val="23"/>
          <w:szCs w:val="23"/>
        </w:rPr>
      </w:pPr>
      <w:r w:rsidRPr="0029797D">
        <w:rPr>
          <w:rFonts w:ascii="Arial" w:hAnsi="Arial" w:cs="Arial"/>
          <w:sz w:val="23"/>
          <w:szCs w:val="23"/>
        </w:rPr>
        <w:t>ARTÍCULO 225 A. Fijación del juzgamiento a seguir. Recibido el expediente por el funcionario a quien corresponda el juzgamiento, por auto de sustanciación motivado, decidirá, de conformidad con los requisitos establecidos en este artículo, si el juzgamiento se adelanta por el juicio ordinario o por el verbal. Contra esta decisión no procede recurso alguno.</w:t>
      </w:r>
    </w:p>
    <w:p w:rsidR="0029797D" w:rsidRPr="0029797D" w:rsidRDefault="0029797D" w:rsidP="0029797D">
      <w:pPr>
        <w:rPr>
          <w:rFonts w:ascii="Arial" w:hAnsi="Arial" w:cs="Arial"/>
          <w:sz w:val="23"/>
          <w:szCs w:val="23"/>
        </w:rPr>
      </w:pPr>
    </w:p>
    <w:p w:rsidR="0029797D" w:rsidRPr="0029797D" w:rsidRDefault="0029797D" w:rsidP="0029797D">
      <w:pPr>
        <w:rPr>
          <w:rFonts w:ascii="Arial" w:hAnsi="Arial" w:cs="Arial"/>
          <w:sz w:val="23"/>
          <w:szCs w:val="23"/>
        </w:rPr>
      </w:pPr>
      <w:r w:rsidRPr="0029797D">
        <w:rPr>
          <w:rFonts w:ascii="Arial" w:hAnsi="Arial" w:cs="Arial"/>
          <w:sz w:val="23"/>
          <w:szCs w:val="23"/>
        </w:rPr>
        <w:t>El juicio verbal se adelantará cuando el sujeto disciplinable sea sorprendido en el momento de la comisión de la falta o con elementos, efectos o instrumentos que provengan de la ejecución de la conducta.</w:t>
      </w:r>
    </w:p>
    <w:p w:rsidR="0029797D" w:rsidRPr="0029797D" w:rsidRDefault="0029797D" w:rsidP="0029797D">
      <w:pPr>
        <w:rPr>
          <w:rFonts w:ascii="Arial" w:hAnsi="Arial" w:cs="Arial"/>
          <w:sz w:val="23"/>
          <w:szCs w:val="23"/>
        </w:rPr>
      </w:pPr>
    </w:p>
    <w:p w:rsidR="0029797D" w:rsidRPr="0029797D" w:rsidRDefault="0029797D" w:rsidP="0029797D">
      <w:pPr>
        <w:rPr>
          <w:rFonts w:ascii="Arial" w:hAnsi="Arial" w:cs="Arial"/>
          <w:sz w:val="23"/>
          <w:szCs w:val="23"/>
        </w:rPr>
      </w:pPr>
      <w:r w:rsidRPr="0029797D">
        <w:rPr>
          <w:rFonts w:ascii="Arial" w:hAnsi="Arial" w:cs="Arial"/>
          <w:sz w:val="23"/>
          <w:szCs w:val="23"/>
        </w:rPr>
        <w:t>También se seguirá este juicio por las faltas leves, así como por las gravísimas contempladas en los artículos 54, numerales 4 y 5; 55, numerales 1, 2, 4, 5, 6, 7, 8 y 10; 56, numerales 1,2,3,5: 57, numerales 1, 2 ,3 ,5 y 11, 58, 60, 61 y 62, numeral 6.</w:t>
      </w:r>
    </w:p>
    <w:p w:rsidR="0029797D" w:rsidRPr="0029797D" w:rsidRDefault="0029797D" w:rsidP="0029797D">
      <w:pPr>
        <w:rPr>
          <w:rFonts w:ascii="Arial" w:hAnsi="Arial" w:cs="Arial"/>
          <w:sz w:val="23"/>
          <w:szCs w:val="23"/>
        </w:rPr>
      </w:pPr>
    </w:p>
    <w:p w:rsidR="0029797D" w:rsidRPr="0029797D" w:rsidRDefault="0029797D" w:rsidP="0029797D">
      <w:pPr>
        <w:rPr>
          <w:rFonts w:ascii="Arial" w:hAnsi="Arial" w:cs="Arial"/>
          <w:sz w:val="23"/>
          <w:szCs w:val="23"/>
        </w:rPr>
      </w:pPr>
      <w:r w:rsidRPr="0029797D">
        <w:rPr>
          <w:rFonts w:ascii="Arial" w:hAnsi="Arial" w:cs="Arial"/>
          <w:sz w:val="23"/>
          <w:szCs w:val="23"/>
        </w:rPr>
        <w:t xml:space="preserve">PARÁGRAFO. En cualquiera de los eventos anteriores, el funcionario adelantara el proceso verbal, salvo que, por la complejidad del asunto, el número de disciplinables, el número de cargos formulados en el pliego, o la carencia de recursos humanos, </w:t>
      </w:r>
      <w:proofErr w:type="spellStart"/>
      <w:r w:rsidRPr="0029797D">
        <w:rPr>
          <w:rFonts w:ascii="Arial" w:hAnsi="Arial" w:cs="Arial"/>
          <w:sz w:val="23"/>
          <w:szCs w:val="23"/>
        </w:rPr>
        <w:t>fisicos</w:t>
      </w:r>
      <w:proofErr w:type="spellEnd"/>
      <w:r w:rsidRPr="0029797D">
        <w:rPr>
          <w:rFonts w:ascii="Arial" w:hAnsi="Arial" w:cs="Arial"/>
          <w:sz w:val="23"/>
          <w:szCs w:val="23"/>
        </w:rPr>
        <w:t xml:space="preserve"> o dotacionales de la dependencia que debe cumplir la función de juzgamiento, dificulte el logro de los principios de celeridad, eficacia y economía procesal en el desarrollo de la actuación disciplinaria. En estos casos, el funcionario deberá motivar su decisión.</w:t>
      </w:r>
    </w:p>
    <w:p w:rsidR="0029797D" w:rsidRPr="0029797D" w:rsidRDefault="0029797D" w:rsidP="0029797D">
      <w:pPr>
        <w:rPr>
          <w:rFonts w:ascii="Arial" w:hAnsi="Arial" w:cs="Arial"/>
          <w:sz w:val="23"/>
          <w:szCs w:val="23"/>
        </w:rPr>
      </w:pPr>
    </w:p>
    <w:p w:rsidR="008E09E9" w:rsidRDefault="0029797D" w:rsidP="0029797D">
      <w:pPr>
        <w:rPr>
          <w:rFonts w:ascii="Arial" w:hAnsi="Arial" w:cs="Arial"/>
          <w:sz w:val="23"/>
          <w:szCs w:val="23"/>
        </w:rPr>
      </w:pPr>
      <w:r w:rsidRPr="0029797D">
        <w:rPr>
          <w:rFonts w:ascii="Arial" w:hAnsi="Arial" w:cs="Arial"/>
          <w:sz w:val="23"/>
          <w:szCs w:val="23"/>
        </w:rPr>
        <w:t>(Adicionado por el artículo 40 de la Ley 2094 de 2021)</w:t>
      </w:r>
    </w:p>
    <w:p w:rsidR="0029797D" w:rsidRDefault="0029797D" w:rsidP="0029797D">
      <w:pPr>
        <w:rPr>
          <w:rFonts w:ascii="Arial" w:hAnsi="Arial" w:cs="Arial"/>
          <w:sz w:val="23"/>
          <w:szCs w:val="23"/>
        </w:rPr>
      </w:pPr>
    </w:p>
    <w:p w:rsidR="0029797D" w:rsidRDefault="0029797D" w:rsidP="0029797D">
      <w:pPr>
        <w:rPr>
          <w:rFonts w:ascii="Arial" w:hAnsi="Arial" w:cs="Arial"/>
          <w:sz w:val="23"/>
          <w:szCs w:val="23"/>
        </w:rPr>
      </w:pPr>
    </w:p>
    <w:p w:rsidR="0029797D" w:rsidRDefault="0029797D" w:rsidP="0029797D">
      <w:pPr>
        <w:rPr>
          <w:rFonts w:ascii="Arial" w:hAnsi="Arial" w:cs="Arial"/>
          <w:sz w:val="23"/>
          <w:szCs w:val="23"/>
        </w:rPr>
      </w:pPr>
    </w:p>
    <w:p w:rsidR="0029797D" w:rsidRPr="0029797D" w:rsidRDefault="0029797D" w:rsidP="0029797D">
      <w:pPr>
        <w:rPr>
          <w:rFonts w:ascii="Arial" w:hAnsi="Arial" w:cs="Arial"/>
          <w:sz w:val="23"/>
          <w:szCs w:val="23"/>
        </w:rPr>
      </w:pPr>
      <w:r w:rsidRPr="0029797D">
        <w:rPr>
          <w:rFonts w:ascii="Arial" w:hAnsi="Arial" w:cs="Arial"/>
          <w:sz w:val="23"/>
          <w:szCs w:val="23"/>
        </w:rPr>
        <w:lastRenderedPageBreak/>
        <w:t>JUICIO ORDINARIO</w:t>
      </w:r>
    </w:p>
    <w:p w:rsidR="0029797D" w:rsidRPr="0029797D" w:rsidRDefault="0029797D" w:rsidP="0029797D">
      <w:pPr>
        <w:rPr>
          <w:rFonts w:ascii="Arial" w:hAnsi="Arial" w:cs="Arial"/>
          <w:sz w:val="23"/>
          <w:szCs w:val="23"/>
        </w:rPr>
      </w:pPr>
    </w:p>
    <w:p w:rsidR="00012692" w:rsidRDefault="0029797D" w:rsidP="0029797D">
      <w:pPr>
        <w:rPr>
          <w:rFonts w:ascii="Arial" w:hAnsi="Arial" w:cs="Arial"/>
          <w:sz w:val="23"/>
          <w:szCs w:val="23"/>
        </w:rPr>
      </w:pPr>
      <w:r w:rsidRPr="0029797D">
        <w:rPr>
          <w:rFonts w:ascii="Arial" w:hAnsi="Arial" w:cs="Arial"/>
          <w:sz w:val="23"/>
          <w:szCs w:val="23"/>
        </w:rPr>
        <w:t xml:space="preserve">ARTÍCULO 225 B. Solicitud de pruebas y descargos. En el auto en el que el funcionario de conocimiento decide aplicar el procedimiento ordinario, también dispondrá que, por el </w:t>
      </w:r>
      <w:proofErr w:type="gramStart"/>
      <w:r w:rsidRPr="0029797D">
        <w:rPr>
          <w:rFonts w:ascii="Arial" w:hAnsi="Arial" w:cs="Arial"/>
          <w:sz w:val="23"/>
          <w:szCs w:val="23"/>
        </w:rPr>
        <w:t>termino</w:t>
      </w:r>
      <w:proofErr w:type="gramEnd"/>
      <w:r w:rsidRPr="0029797D">
        <w:rPr>
          <w:rFonts w:ascii="Arial" w:hAnsi="Arial" w:cs="Arial"/>
          <w:sz w:val="23"/>
          <w:szCs w:val="23"/>
        </w:rPr>
        <w:t xml:space="preserve"> de quince (15) días, el expediente quede a disposición de los sujetos procesales en la secretaria. En este plazo, podrán presentar descargos, así como aportar y solicitar pruebas. Contra esta decisión no procede recurso alguno. La renuencia del investigado o su defensor a presentar descargos no interrumpen el trámite de la actuación.</w:t>
      </w:r>
    </w:p>
    <w:p w:rsidR="00012692" w:rsidRPr="00012692" w:rsidRDefault="00012692" w:rsidP="00012692">
      <w:pPr>
        <w:rPr>
          <w:rFonts w:ascii="Arial" w:hAnsi="Arial" w:cs="Arial"/>
          <w:sz w:val="23"/>
          <w:szCs w:val="23"/>
        </w:rPr>
      </w:pPr>
    </w:p>
    <w:p w:rsidR="00012692" w:rsidRPr="00012692" w:rsidRDefault="00012692" w:rsidP="00012692">
      <w:pPr>
        <w:rPr>
          <w:rFonts w:ascii="Arial" w:hAnsi="Arial" w:cs="Arial"/>
          <w:sz w:val="23"/>
          <w:szCs w:val="23"/>
        </w:rPr>
      </w:pPr>
    </w:p>
    <w:p w:rsidR="007E1EC1" w:rsidRPr="007E1EC1" w:rsidRDefault="004419EF" w:rsidP="007E1EC1">
      <w:pPr>
        <w:autoSpaceDE w:val="0"/>
        <w:autoSpaceDN w:val="0"/>
        <w:adjustRightInd w:val="0"/>
        <w:rPr>
          <w:rFonts w:ascii="Arial" w:hAnsi="Arial" w:cs="Arial"/>
          <w:sz w:val="24"/>
          <w:szCs w:val="24"/>
        </w:rPr>
      </w:pPr>
      <w:r w:rsidRPr="007E1EC1">
        <w:rPr>
          <w:rFonts w:ascii="Arial" w:hAnsi="Arial" w:cs="Arial"/>
          <w:sz w:val="24"/>
          <w:szCs w:val="24"/>
        </w:rPr>
        <w:t>Informe circular 0010 de 2020 CNSC</w:t>
      </w:r>
    </w:p>
    <w:p w:rsidR="007E1EC1" w:rsidRPr="007E1EC1" w:rsidRDefault="004419EF" w:rsidP="007E1EC1">
      <w:pPr>
        <w:autoSpaceDE w:val="0"/>
        <w:autoSpaceDN w:val="0"/>
        <w:adjustRightInd w:val="0"/>
        <w:rPr>
          <w:rFonts w:ascii="Arial" w:hAnsi="Arial" w:cs="Arial"/>
          <w:sz w:val="24"/>
          <w:szCs w:val="24"/>
        </w:rPr>
      </w:pPr>
      <w:r w:rsidRPr="007E1EC1">
        <w:rPr>
          <w:rFonts w:ascii="Arial" w:hAnsi="Arial" w:cs="Arial"/>
          <w:sz w:val="24"/>
          <w:szCs w:val="24"/>
        </w:rPr>
        <w:t>Cumplimiento de las normas de carrera administrativa – CGN</w:t>
      </w:r>
    </w:p>
    <w:p w:rsidR="0029797D" w:rsidRPr="00012692" w:rsidRDefault="004419EF" w:rsidP="007E1EC1">
      <w:pPr>
        <w:autoSpaceDE w:val="0"/>
        <w:autoSpaceDN w:val="0"/>
        <w:adjustRightInd w:val="0"/>
        <w:rPr>
          <w:rFonts w:ascii="Arial" w:hAnsi="Arial" w:cs="Arial"/>
          <w:sz w:val="23"/>
          <w:szCs w:val="23"/>
        </w:rPr>
      </w:pPr>
      <w:r>
        <w:rPr>
          <w:rFonts w:ascii="Arial" w:hAnsi="Arial" w:cs="Arial"/>
          <w:sz w:val="24"/>
          <w:szCs w:val="24"/>
        </w:rPr>
        <w:t>Semestral</w:t>
      </w:r>
      <w:r w:rsidRPr="007E1EC1">
        <w:rPr>
          <w:rFonts w:ascii="Arial" w:hAnsi="Arial" w:cs="Arial"/>
          <w:sz w:val="24"/>
          <w:szCs w:val="24"/>
        </w:rPr>
        <w:t xml:space="preserve"> 2022</w:t>
      </w:r>
    </w:p>
    <w:sectPr w:rsidR="0029797D" w:rsidRPr="00012692" w:rsidSect="00033D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E09E9"/>
    <w:rsid w:val="00012692"/>
    <w:rsid w:val="00033D8F"/>
    <w:rsid w:val="0029797D"/>
    <w:rsid w:val="004419EF"/>
    <w:rsid w:val="007E1EC1"/>
    <w:rsid w:val="008E09E9"/>
    <w:rsid w:val="00E56E9B"/>
    <w:rsid w:val="00FE32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E09E9"/>
    <w:rPr>
      <w:b/>
      <w:bCs/>
    </w:rPr>
  </w:style>
  <w:style w:type="character" w:styleId="Hipervnculo">
    <w:name w:val="Hyperlink"/>
    <w:basedOn w:val="Fuentedeprrafopredeter"/>
    <w:uiPriority w:val="99"/>
    <w:semiHidden/>
    <w:unhideWhenUsed/>
    <w:rsid w:val="008E09E9"/>
    <w:rPr>
      <w:color w:val="0000FF"/>
      <w:u w:val="single"/>
    </w:rPr>
  </w:style>
</w:styles>
</file>

<file path=word/webSettings.xml><?xml version="1.0" encoding="utf-8"?>
<w:webSettings xmlns:r="http://schemas.openxmlformats.org/officeDocument/2006/relationships" xmlns:w="http://schemas.openxmlformats.org/wordprocessingml/2006/main">
  <w:divs>
    <w:div w:id="1498885210">
      <w:bodyDiv w:val="1"/>
      <w:marLeft w:val="0"/>
      <w:marRight w:val="0"/>
      <w:marTop w:val="0"/>
      <w:marBottom w:val="0"/>
      <w:divBdr>
        <w:top w:val="none" w:sz="0" w:space="0" w:color="auto"/>
        <w:left w:val="none" w:sz="0" w:space="0" w:color="auto"/>
        <w:bottom w:val="none" w:sz="0" w:space="0" w:color="auto"/>
        <w:right w:val="none" w:sz="0" w:space="0" w:color="auto"/>
      </w:divBdr>
    </w:div>
    <w:div w:id="16676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uncionpublica.gov.co/eva/gestornormativo/norma.php?i=165113&amp;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779</Words>
  <Characters>4286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63502132</dc:creator>
  <cp:lastModifiedBy>63502132</cp:lastModifiedBy>
  <cp:revision>1</cp:revision>
  <dcterms:created xsi:type="dcterms:W3CDTF">2023-12-11T19:04:00Z</dcterms:created>
  <dcterms:modified xsi:type="dcterms:W3CDTF">2023-12-11T22:31:00Z</dcterms:modified>
</cp:coreProperties>
</file>