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D66DC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Jefe de Control Interno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CB748C" w:rsidP="00CB748C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Socialización auditoría</w:t>
            </w:r>
            <w:r w:rsidR="00D66DC4">
              <w:rPr>
                <w:rFonts w:ascii="Arial" w:hAnsi="Arial" w:cs="Arial"/>
                <w:bCs/>
              </w:rPr>
              <w:t xml:space="preserve"> de </w:t>
            </w:r>
            <w:r>
              <w:rPr>
                <w:rFonts w:ascii="Arial" w:hAnsi="Arial" w:cs="Arial"/>
                <w:bCs/>
              </w:rPr>
              <w:t>c</w:t>
            </w:r>
            <w:r w:rsidR="00D66DC4">
              <w:rPr>
                <w:rFonts w:ascii="Arial" w:hAnsi="Arial" w:cs="Arial"/>
                <w:bCs/>
              </w:rPr>
              <w:t xml:space="preserve">ontrol </w:t>
            </w:r>
            <w:r>
              <w:rPr>
                <w:rFonts w:ascii="Arial" w:hAnsi="Arial" w:cs="Arial"/>
                <w:bCs/>
              </w:rPr>
              <w:t>i</w:t>
            </w:r>
            <w:r w:rsidR="00D66DC4">
              <w:rPr>
                <w:rFonts w:ascii="Arial" w:hAnsi="Arial" w:cs="Arial"/>
                <w:bCs/>
              </w:rPr>
              <w:t>nterno</w:t>
            </w:r>
            <w:r>
              <w:rPr>
                <w:rFonts w:ascii="Arial" w:hAnsi="Arial" w:cs="Arial"/>
                <w:bCs/>
              </w:rPr>
              <w:t xml:space="preserve"> de los procesos de talento humano y bienes y servicios</w:t>
            </w:r>
          </w:p>
        </w:tc>
        <w:tc>
          <w:tcPr>
            <w:tcW w:w="1304" w:type="dxa"/>
            <w:vAlign w:val="center"/>
          </w:tcPr>
          <w:p w:rsidR="002F4F8E" w:rsidRPr="001A0273" w:rsidRDefault="008735DB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CB748C">
              <w:rPr>
                <w:rFonts w:cs="Arial"/>
                <w:szCs w:val="24"/>
              </w:rPr>
              <w:t>17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D66DC4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CB748C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898" w:type="dxa"/>
            <w:vAlign w:val="center"/>
          </w:tcPr>
          <w:p w:rsidR="002F4F8E" w:rsidRPr="001A0273" w:rsidRDefault="00D66DC4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D66DC4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Oficina de la Secretaría General</w:t>
            </w:r>
          </w:p>
        </w:tc>
        <w:tc>
          <w:tcPr>
            <w:tcW w:w="1032" w:type="dxa"/>
            <w:vAlign w:val="center"/>
          </w:tcPr>
          <w:p w:rsidR="002F4F8E" w:rsidRPr="001A0273" w:rsidRDefault="00CB748C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D66DC4">
              <w:rPr>
                <w:rFonts w:cs="Arial"/>
                <w:szCs w:val="24"/>
              </w:rPr>
              <w:t>:30 am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CB748C" w:rsidP="00CB748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300443">
              <w:rPr>
                <w:rFonts w:cs="Arial"/>
                <w:szCs w:val="24"/>
              </w:rPr>
              <w:t>:</w:t>
            </w:r>
            <w:r>
              <w:rPr>
                <w:rFonts w:cs="Arial"/>
                <w:szCs w:val="24"/>
              </w:rPr>
              <w:t>3</w:t>
            </w:r>
            <w:r w:rsidR="00300443">
              <w:rPr>
                <w:rFonts w:cs="Arial"/>
                <w:szCs w:val="24"/>
              </w:rPr>
              <w:t>0 am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Pr="006714E5" w:rsidRDefault="00CB748C" w:rsidP="00FC4DDE">
            <w:pPr>
              <w:rPr>
                <w:rFonts w:cs="Arial"/>
              </w:rPr>
            </w:pPr>
            <w:r>
              <w:rPr>
                <w:rFonts w:cs="Arial"/>
                <w:bCs/>
              </w:rPr>
              <w:t>Socialización del Plan de Auditoría de c</w:t>
            </w:r>
            <w:r w:rsidR="00300443" w:rsidRPr="006714E5">
              <w:rPr>
                <w:rFonts w:cs="Arial"/>
                <w:bCs/>
              </w:rPr>
              <w:t xml:space="preserve">ontrol </w:t>
            </w:r>
            <w:r>
              <w:rPr>
                <w:rFonts w:cs="Arial"/>
                <w:bCs/>
              </w:rPr>
              <w:t>i</w:t>
            </w:r>
            <w:r w:rsidR="00300443" w:rsidRPr="006714E5">
              <w:rPr>
                <w:rFonts w:cs="Arial"/>
                <w:bCs/>
              </w:rPr>
              <w:t xml:space="preserve">nterno </w:t>
            </w:r>
            <w:r>
              <w:rPr>
                <w:rFonts w:cs="Arial"/>
                <w:bCs/>
              </w:rPr>
              <w:t>de los</w:t>
            </w:r>
            <w:r w:rsidR="00300443" w:rsidRPr="006714E5">
              <w:rPr>
                <w:rFonts w:cs="Arial"/>
                <w:bCs/>
              </w:rPr>
              <w:t xml:space="preserve"> procesos de Bienes y Servicios y de Talento Humano.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300443" w:rsidRPr="0007287E" w:rsidRDefault="007615FB" w:rsidP="00C903F5">
            <w:pPr>
              <w:jc w:val="center"/>
              <w:rPr>
                <w:rFonts w:cs="Arial"/>
                <w:b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b/>
                <w:sz w:val="24"/>
                <w:szCs w:val="24"/>
                <w:lang w:val="es-CO"/>
              </w:rPr>
              <w:t>DESARROLLO</w:t>
            </w:r>
          </w:p>
          <w:p w:rsidR="00300443" w:rsidRPr="0007287E" w:rsidRDefault="00300443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FC4DDE" w:rsidRDefault="00C86845" w:rsidP="00300443">
            <w:pPr>
              <w:rPr>
                <w:rFonts w:cs="Arial"/>
                <w:sz w:val="24"/>
                <w:szCs w:val="24"/>
                <w:lang w:val="es-CO"/>
              </w:rPr>
            </w:pPr>
            <w:r w:rsidRPr="0007287E">
              <w:rPr>
                <w:rFonts w:cs="Arial"/>
                <w:sz w:val="24"/>
                <w:szCs w:val="24"/>
                <w:lang w:val="es-CO"/>
              </w:rPr>
              <w:t xml:space="preserve">En la hora y fecha señalada, </w:t>
            </w:r>
            <w:r w:rsidR="007D70B4">
              <w:rPr>
                <w:rFonts w:cs="Arial"/>
                <w:sz w:val="24"/>
                <w:szCs w:val="24"/>
                <w:lang w:val="es-CO"/>
              </w:rPr>
              <w:t xml:space="preserve">La Oficina de Control interno, </w:t>
            </w:r>
            <w:r w:rsidRPr="0007287E">
              <w:rPr>
                <w:rFonts w:cs="Arial"/>
                <w:sz w:val="24"/>
                <w:szCs w:val="24"/>
                <w:lang w:val="es-CO"/>
              </w:rPr>
              <w:t xml:space="preserve">el doctor Arley Ramírez da apertura a la </w:t>
            </w:r>
            <w:r w:rsidR="00FC4DDE">
              <w:rPr>
                <w:rFonts w:cs="Arial"/>
                <w:sz w:val="24"/>
                <w:szCs w:val="24"/>
                <w:lang w:val="es-CO"/>
              </w:rPr>
              <w:t>reunión en la cual se socializa el Plan de Auditoría de control interno de los procesos de Bienes y Servicios y de Tal</w:t>
            </w:r>
            <w:r w:rsidR="00877148">
              <w:rPr>
                <w:rFonts w:cs="Arial"/>
                <w:sz w:val="24"/>
                <w:szCs w:val="24"/>
                <w:lang w:val="es-CO"/>
              </w:rPr>
              <w:t>ento Humano y de igual manera la solicitud de la información requerida para llevar a cabo estas auditorías.</w:t>
            </w:r>
          </w:p>
          <w:p w:rsidR="00877148" w:rsidRDefault="00877148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877148" w:rsidRDefault="00877148" w:rsidP="00300443">
            <w:pPr>
              <w:rPr>
                <w:rFonts w:cs="Arial"/>
                <w:sz w:val="24"/>
                <w:szCs w:val="24"/>
                <w:lang w:val="es-CO"/>
              </w:rPr>
            </w:pPr>
            <w:r w:rsidRPr="00AE4FE6">
              <w:rPr>
                <w:rFonts w:cs="Arial"/>
                <w:b/>
                <w:sz w:val="24"/>
                <w:szCs w:val="24"/>
                <w:u w:val="single"/>
                <w:lang w:val="es-CO"/>
              </w:rPr>
              <w:t>Solicitud de Información:</w:t>
            </w:r>
            <w:r>
              <w:rPr>
                <w:rFonts w:cs="Arial"/>
                <w:sz w:val="24"/>
                <w:szCs w:val="24"/>
                <w:lang w:val="es-CO"/>
              </w:rPr>
              <w:t xml:space="preserve"> Esta se realizó mediante oficio enviado al correo electrónico </w:t>
            </w:r>
            <w:hyperlink r:id="rId8" w:history="1">
              <w:r w:rsidRPr="008E7D33">
                <w:rPr>
                  <w:rStyle w:val="Hipervnculo"/>
                  <w:rFonts w:cs="Arial"/>
                  <w:szCs w:val="24"/>
                  <w:lang w:val="es-CO"/>
                </w:rPr>
                <w:t>secretariageneral@personeriaitagui.gov.co</w:t>
              </w:r>
            </w:hyperlink>
            <w:r w:rsidR="004E6619">
              <w:rPr>
                <w:rFonts w:cs="Arial"/>
                <w:szCs w:val="24"/>
                <w:lang w:val="es-CO"/>
              </w:rPr>
              <w:t xml:space="preserve">, así: </w:t>
            </w:r>
            <w:r>
              <w:rPr>
                <w:rFonts w:cs="Arial"/>
                <w:sz w:val="24"/>
                <w:szCs w:val="24"/>
                <w:lang w:val="es-CO"/>
              </w:rPr>
              <w:t xml:space="preserve"> </w:t>
            </w:r>
          </w:p>
          <w:p w:rsidR="00FC4DDE" w:rsidRDefault="00FC4DDE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4E6619" w:rsidRPr="004E6619" w:rsidRDefault="004E6619" w:rsidP="004E6619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4E6619">
              <w:rPr>
                <w:rFonts w:cs="Arial"/>
                <w:b/>
                <w:bCs/>
                <w:i/>
                <w:iCs/>
                <w:sz w:val="16"/>
                <w:szCs w:val="16"/>
              </w:rPr>
              <w:t>OFICINA DE CONTROL INTERNO</w:t>
            </w:r>
          </w:p>
          <w:p w:rsidR="004E6619" w:rsidRPr="004E6619" w:rsidRDefault="004E6619" w:rsidP="004E6619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4E6619">
              <w:rPr>
                <w:rFonts w:cs="Arial"/>
                <w:b/>
                <w:bCs/>
                <w:i/>
                <w:iCs/>
                <w:sz w:val="16"/>
                <w:szCs w:val="16"/>
              </w:rPr>
              <w:t>PERSONERIA MUNICIPAL DE ITAGÜÍ</w:t>
            </w:r>
          </w:p>
          <w:p w:rsidR="004E6619" w:rsidRPr="004E6619" w:rsidRDefault="004E6619" w:rsidP="004E6619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4E6619">
              <w:rPr>
                <w:rFonts w:cs="Arial"/>
                <w:b/>
                <w:i/>
                <w:sz w:val="16"/>
                <w:szCs w:val="16"/>
              </w:rPr>
              <w:t>SOLICITUD DE INFORMACIÓN</w:t>
            </w:r>
          </w:p>
          <w:p w:rsidR="004E6619" w:rsidRPr="004E6619" w:rsidRDefault="004E6619" w:rsidP="004E6619">
            <w:pPr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E6619">
              <w:rPr>
                <w:rFonts w:cs="Arial"/>
                <w:i/>
                <w:color w:val="000000" w:themeColor="text1"/>
                <w:sz w:val="16"/>
                <w:szCs w:val="16"/>
              </w:rPr>
              <w:t>Doctor/a</w:t>
            </w:r>
          </w:p>
          <w:p w:rsidR="004E6619" w:rsidRPr="004E6619" w:rsidRDefault="004E6619" w:rsidP="004E6619">
            <w:pP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4E6619"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ALEXANDER RICO OCAMPO</w:t>
            </w:r>
          </w:p>
          <w:p w:rsidR="004E6619" w:rsidRPr="004E6619" w:rsidRDefault="004E6619" w:rsidP="004E6619">
            <w:pPr>
              <w:rPr>
                <w:rFonts w:cs="Arial"/>
                <w:bCs/>
                <w:i/>
                <w:color w:val="000000" w:themeColor="text1"/>
                <w:sz w:val="16"/>
                <w:szCs w:val="16"/>
              </w:rPr>
            </w:pPr>
            <w:r w:rsidRPr="004E6619">
              <w:rPr>
                <w:rFonts w:cs="Arial"/>
                <w:bCs/>
                <w:i/>
                <w:color w:val="000000" w:themeColor="text1"/>
                <w:sz w:val="16"/>
                <w:szCs w:val="16"/>
              </w:rPr>
              <w:t>Secretario General</w:t>
            </w:r>
          </w:p>
          <w:p w:rsidR="004E6619" w:rsidRPr="004E6619" w:rsidRDefault="004E6619" w:rsidP="004E6619">
            <w:pPr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E6619">
              <w:rPr>
                <w:rFonts w:cs="Arial"/>
                <w:bCs/>
                <w:i/>
                <w:color w:val="000000" w:themeColor="text1"/>
                <w:sz w:val="16"/>
                <w:szCs w:val="16"/>
              </w:rPr>
              <w:t>Personería municipal de Itagüí</w:t>
            </w:r>
          </w:p>
          <w:p w:rsidR="004E6619" w:rsidRPr="004E6619" w:rsidRDefault="004E6619" w:rsidP="004E6619">
            <w:pPr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ind w:left="1440" w:hanging="1440"/>
              <w:rPr>
                <w:rFonts w:eastAsia="Arial Unicode MS" w:cs="Arial"/>
                <w:i/>
                <w:color w:val="000000" w:themeColor="text1"/>
                <w:kern w:val="3"/>
                <w:sz w:val="16"/>
                <w:szCs w:val="16"/>
                <w:lang w:eastAsia="es-CO"/>
              </w:rPr>
            </w:pPr>
            <w:r w:rsidRPr="004E6619">
              <w:rPr>
                <w:rFonts w:eastAsia="Arial Unicode MS" w:cs="Arial"/>
                <w:b/>
                <w:i/>
                <w:color w:val="000000" w:themeColor="text1"/>
                <w:kern w:val="3"/>
                <w:sz w:val="16"/>
                <w:szCs w:val="16"/>
                <w:lang w:eastAsia="es-CO"/>
              </w:rPr>
              <w:t>Asunto</w:t>
            </w:r>
            <w:r w:rsidRPr="004E6619">
              <w:rPr>
                <w:rFonts w:eastAsia="Arial Unicode MS" w:cs="Arial"/>
                <w:i/>
                <w:color w:val="000000" w:themeColor="text1"/>
                <w:kern w:val="3"/>
                <w:sz w:val="16"/>
                <w:szCs w:val="16"/>
                <w:lang w:eastAsia="es-CO"/>
              </w:rPr>
              <w:t>:</w:t>
            </w:r>
            <w:r w:rsidRPr="004E6619">
              <w:rPr>
                <w:rFonts w:eastAsia="Arial Unicode MS" w:cs="Arial"/>
                <w:i/>
                <w:color w:val="000000" w:themeColor="text1"/>
                <w:kern w:val="3"/>
                <w:sz w:val="16"/>
                <w:szCs w:val="16"/>
                <w:lang w:eastAsia="es-CO"/>
              </w:rPr>
              <w:tab/>
              <w:t>Atención a Auditorías internas Bienes y Servicios y Talento Humano</w:t>
            </w:r>
          </w:p>
          <w:p w:rsidR="004E6619" w:rsidRPr="004E6619" w:rsidRDefault="004E6619" w:rsidP="004E6619">
            <w:pPr>
              <w:suppressAutoHyphens/>
              <w:autoSpaceDE w:val="0"/>
              <w:autoSpaceDN w:val="0"/>
              <w:ind w:left="851" w:hanging="851"/>
              <w:rPr>
                <w:rFonts w:eastAsia="Arial" w:cs="Arial"/>
                <w:i/>
                <w:color w:val="000000" w:themeColor="text1"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color w:val="000000" w:themeColor="text1"/>
                <w:kern w:val="3"/>
                <w:sz w:val="16"/>
                <w:szCs w:val="16"/>
              </w:rPr>
            </w:pPr>
            <w:r w:rsidRPr="004E6619">
              <w:rPr>
                <w:rFonts w:eastAsia="Arial" w:cs="Arial"/>
                <w:i/>
                <w:color w:val="000000" w:themeColor="text1"/>
                <w:kern w:val="3"/>
                <w:sz w:val="16"/>
                <w:szCs w:val="16"/>
              </w:rPr>
              <w:t xml:space="preserve">Respetado doctor </w:t>
            </w:r>
            <w:r w:rsidRPr="004E6619">
              <w:rPr>
                <w:rFonts w:cs="Arial"/>
                <w:bCs/>
                <w:i/>
                <w:color w:val="000000" w:themeColor="text1"/>
                <w:sz w:val="16"/>
                <w:szCs w:val="16"/>
              </w:rPr>
              <w:t>Alexander Rico</w:t>
            </w: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color w:val="000000" w:themeColor="text1"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Theme="minorHAnsi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color w:val="000000"/>
                <w:sz w:val="16"/>
                <w:szCs w:val="16"/>
              </w:rPr>
              <w:t xml:space="preserve">La Oficina de Control Interno de la Personería  municipal de Itagüí, lleva a cabo la auditoría interna de Gestión de los procesos de </w:t>
            </w:r>
            <w:r w:rsidRPr="004E6619">
              <w:rPr>
                <w:rFonts w:eastAsiaTheme="minorHAnsi" w:cs="Arial"/>
                <w:b/>
                <w:i/>
                <w:color w:val="000000"/>
                <w:sz w:val="16"/>
                <w:szCs w:val="16"/>
              </w:rPr>
              <w:t>Talento Humano y Bienes y Servicios,</w:t>
            </w:r>
            <w:r w:rsidRPr="004E6619">
              <w:rPr>
                <w:rFonts w:eastAsiaTheme="minorHAnsi" w:cs="Arial"/>
                <w:i/>
                <w:color w:val="000000"/>
                <w:sz w:val="16"/>
                <w:szCs w:val="16"/>
              </w:rPr>
              <w:t xml:space="preserve"> esta auditoría se viene realizando conforme lo establece el Programa Anual de Auditorías Internas, adoptado mediante la Resolución No 021 de febrero de 2023,</w:t>
            </w: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Theme="minorHAnsi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color w:val="000000"/>
                <w:sz w:val="16"/>
                <w:szCs w:val="16"/>
              </w:rPr>
              <w:lastRenderedPageBreak/>
              <w:t xml:space="preserve">En virtud de lo anterior </w:t>
            </w:r>
          </w:p>
          <w:p w:rsidR="00AE4FE6" w:rsidRDefault="00AE4FE6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eastAsia="Arial" w:cs="Arial"/>
                <w:i/>
                <w:kern w:val="3"/>
                <w:sz w:val="16"/>
                <w:szCs w:val="16"/>
              </w:rPr>
              <w:t xml:space="preserve">Para dicha diligencia se requiere de la siguiente información, la cual debe ser remitida, a la Oficina de Control interno </w:t>
            </w:r>
            <w:r w:rsidRPr="004E6619">
              <w:rPr>
                <w:rFonts w:cs="Arial"/>
                <w:i/>
                <w:sz w:val="16"/>
                <w:szCs w:val="16"/>
              </w:rPr>
              <w:t>dentro de los cinco (5) días hábiles siguientes</w:t>
            </w:r>
            <w:r w:rsidRPr="004E6619">
              <w:rPr>
                <w:rFonts w:eastAsia="Arial" w:cs="Arial"/>
                <w:i/>
                <w:kern w:val="3"/>
                <w:sz w:val="16"/>
                <w:szCs w:val="16"/>
              </w:rPr>
              <w:t xml:space="preserve"> en medio digital al correo electrónico </w:t>
            </w:r>
            <w:hyperlink r:id="rId9" w:history="1">
              <w:r w:rsidRPr="004E6619">
                <w:rPr>
                  <w:rFonts w:eastAsia="Arial" w:cs="Arial"/>
                  <w:i/>
                  <w:color w:val="0563C1" w:themeColor="hyperlink"/>
                  <w:kern w:val="3"/>
                  <w:sz w:val="16"/>
                  <w:szCs w:val="16"/>
                  <w:u w:val="single"/>
                </w:rPr>
                <w:t>controlinterno@personeriaitagui.gov.co</w:t>
              </w:r>
            </w:hyperlink>
            <w:r w:rsidRPr="004E6619">
              <w:rPr>
                <w:rFonts w:eastAsia="Arial" w:cs="Arial"/>
                <w:i/>
                <w:color w:val="FF0000"/>
                <w:kern w:val="3"/>
                <w:sz w:val="16"/>
                <w:szCs w:val="16"/>
              </w:rPr>
              <w:t xml:space="preserve"> </w:t>
            </w: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b/>
                <w:i/>
                <w:kern w:val="3"/>
                <w:sz w:val="16"/>
                <w:szCs w:val="16"/>
              </w:rPr>
            </w:pPr>
            <w:r w:rsidRPr="004E6619">
              <w:rPr>
                <w:rFonts w:eastAsia="Arial" w:cs="Arial"/>
                <w:b/>
                <w:i/>
                <w:kern w:val="3"/>
                <w:sz w:val="16"/>
                <w:szCs w:val="16"/>
              </w:rPr>
              <w:t>Bienes y servicios</w:t>
            </w: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 xml:space="preserve">Plan Anual de adquisiciones, vigencias 2022 y 2023 Resolución 015  de 2022 (24 de enero) Por medio de la cual se adopta el Plan anual de adquisiciones para la vigencia fiscal 2022 y Resolución que adopta plan adquisiciones vigencia 2023. </w:t>
            </w: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 xml:space="preserve">Resoluciones mediante la cual se adopta el presupuesto municipal para la vigencia 2022 y 2023. </w:t>
            </w:r>
            <w:r w:rsidRPr="004E661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>Resolución Por medio de la cual se adopta el presupuesto de la Personería de Itagüí, para la vigencia fiscal 2022 y 2023.</w:t>
            </w:r>
          </w:p>
          <w:p w:rsidR="004E6619" w:rsidRPr="004E6619" w:rsidRDefault="004E6619" w:rsidP="004E6619">
            <w:pPr>
              <w:pStyle w:val="Prrafodelista"/>
              <w:suppressAutoHyphens/>
              <w:autoSpaceDE w:val="0"/>
              <w:autoSpaceDN w:val="0"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>Actualización de los inventarios de Bienes de la Entidad</w:t>
            </w:r>
          </w:p>
          <w:p w:rsidR="004E6619" w:rsidRPr="004E6619" w:rsidRDefault="004E6619" w:rsidP="004E6619">
            <w:pPr>
              <w:pStyle w:val="Prrafodelista"/>
              <w:suppressAutoHyphens/>
              <w:autoSpaceDE w:val="0"/>
              <w:autoSpaceDN w:val="0"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>Parque automotor de la Entidad y la ejecución del Plan de mantenimiento Preventivo en el cronograma anual 2022.</w:t>
            </w:r>
          </w:p>
          <w:p w:rsidR="004E6619" w:rsidRPr="004E6619" w:rsidRDefault="004E6619" w:rsidP="004E6619">
            <w:pPr>
              <w:pStyle w:val="Prrafodelista"/>
              <w:suppressAutoHyphens/>
              <w:autoSpaceDE w:val="0"/>
              <w:autoSpaceDN w:val="0"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>La gestión de la Caja Menor, Vigencias 2021-2022 y lo que va del año 2023, actividades de apertura, ejecución y cierre.</w:t>
            </w:r>
          </w:p>
          <w:p w:rsidR="004E6619" w:rsidRPr="004E6619" w:rsidRDefault="004E6619" w:rsidP="004E6619">
            <w:pPr>
              <w:pStyle w:val="Prrafodelista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>Relación de contratos celebrados durante la vigencia 2022, tabla en Excel que contenga, Numero del contrato o código, Objeto, Fecha de inicio y fecha de terminación, valor del contrato, adiciones, modalidad de contratación, tipo de contrato, Nombre de contratista, identificación del contratista, nombre del supervisor, Rubro presupuestal, y Estado (Suspendido, terminado, proceso, Liquidado).</w:t>
            </w:r>
          </w:p>
          <w:p w:rsidR="004E6619" w:rsidRPr="004E6619" w:rsidRDefault="004E6619" w:rsidP="004E6619">
            <w:pPr>
              <w:pStyle w:val="Prrafodelista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b/>
                <w:i/>
                <w:kern w:val="3"/>
                <w:sz w:val="16"/>
                <w:szCs w:val="16"/>
              </w:rPr>
            </w:pPr>
            <w:r w:rsidRPr="004E6619">
              <w:rPr>
                <w:rFonts w:eastAsia="Arial" w:cs="Arial"/>
                <w:b/>
                <w:i/>
                <w:kern w:val="3"/>
                <w:sz w:val="16"/>
                <w:szCs w:val="16"/>
              </w:rPr>
              <w:t>Talento Humano</w:t>
            </w:r>
          </w:p>
          <w:p w:rsidR="004E6619" w:rsidRPr="004E6619" w:rsidRDefault="004E6619" w:rsidP="004E6619">
            <w:pPr>
              <w:suppressAutoHyphens/>
              <w:autoSpaceDE w:val="0"/>
              <w:autoSpaceDN w:val="0"/>
              <w:rPr>
                <w:rFonts w:eastAsia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5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>plan de Capacitación y sistema de estímulos incluyendo el programa para pre-pensionados</w:t>
            </w:r>
          </w:p>
          <w:p w:rsidR="004E6619" w:rsidRPr="004E6619" w:rsidRDefault="004E6619" w:rsidP="004E6619">
            <w:pPr>
              <w:pStyle w:val="Prrafodelista"/>
              <w:suppressAutoHyphens/>
              <w:autoSpaceDE w:val="0"/>
              <w:autoSpaceDN w:val="0"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5"/>
              </w:numPr>
              <w:suppressAutoHyphens/>
              <w:autoSpaceDE w:val="0"/>
              <w:autoSpaceDN w:val="0"/>
              <w:contextualSpacing/>
              <w:jc w:val="both"/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i/>
                <w:kern w:val="3"/>
                <w:sz w:val="16"/>
                <w:szCs w:val="16"/>
              </w:rPr>
              <w:t>Actas del  comité de capacitación, Bienestar laboral y estímulos</w:t>
            </w:r>
          </w:p>
          <w:p w:rsidR="004E6619" w:rsidRPr="004E6619" w:rsidRDefault="004E6619" w:rsidP="004E6619">
            <w:pPr>
              <w:rPr>
                <w:rFonts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19">
              <w:rPr>
                <w:rFonts w:cs="Arial"/>
                <w:b/>
                <w:i/>
                <w:sz w:val="16"/>
                <w:szCs w:val="16"/>
              </w:rPr>
              <w:t>Documentos y Resoluciones de Apoyo</w:t>
            </w:r>
          </w:p>
          <w:p w:rsidR="004E6619" w:rsidRPr="004E6619" w:rsidRDefault="004E6619" w:rsidP="004E6619">
            <w:pPr>
              <w:rPr>
                <w:rFonts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color w:val="000000"/>
                <w:sz w:val="16"/>
                <w:szCs w:val="16"/>
              </w:rPr>
              <w:t>Resolución 015  de 2022 (24 de enero) Por medio de la cual se adopta el Plan anual de adquisiciones para la vigencia fiscal 2022.</w:t>
            </w:r>
          </w:p>
          <w:p w:rsidR="004E6619" w:rsidRPr="004E6619" w:rsidRDefault="004E6619" w:rsidP="004E6619">
            <w:pPr>
              <w:pStyle w:val="Prrafodelista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 xml:space="preserve">Acuerdo 712 de 2021 (se adopta el presupuesto municipal para la vigencia 2022). </w:t>
            </w:r>
            <w:r w:rsidRPr="004E661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>Resolución 143 de 2021 (11 de Noviembre). Por medio de la cual se adopta el presupuesto de la Personería de Itagüí, para la vigencia fiscal 2022</w:t>
            </w:r>
          </w:p>
          <w:p w:rsidR="004E6619" w:rsidRPr="004E6619" w:rsidRDefault="004E6619" w:rsidP="004E6619">
            <w:pPr>
              <w:pStyle w:val="Prrafodelista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 xml:space="preserve">Resolución 120 de 2020 (diciembre 23), por medio de la cual se adopta el  Plan Estratégico Institucional 2021-2024. </w:t>
            </w:r>
          </w:p>
          <w:p w:rsidR="004E6619" w:rsidRPr="004E6619" w:rsidRDefault="004E6619" w:rsidP="004E6619">
            <w:pPr>
              <w:pStyle w:val="Prrafodelista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 xml:space="preserve">Acuerdo 022 de 2012  Por medio del cual se adopta la Estructura Administrativa de la Personería de Itagüí. </w:t>
            </w:r>
          </w:p>
          <w:p w:rsidR="004E6619" w:rsidRPr="004E6619" w:rsidRDefault="004E6619" w:rsidP="004E6619">
            <w:pPr>
              <w:pStyle w:val="Prrafodelista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>Acuerdo 012 de 2015 por el cual se adopta y se actualiza el Manual de Funciones y Competencias Laborales de la Personería de Itagüí y se modifica el Acuerdo 022 de 2012.</w:t>
            </w:r>
          </w:p>
          <w:p w:rsidR="004E6619" w:rsidRPr="004E6619" w:rsidRDefault="004E6619" w:rsidP="004E6619">
            <w:pPr>
              <w:pStyle w:val="Prrafodelista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sz w:val="16"/>
                <w:szCs w:val="16"/>
              </w:rPr>
              <w:t>Resolución 120 de 2020 (diciembre 23), por medio de la cual se adopta el  Plan Estratégico Institucional 2021-2024.</w:t>
            </w:r>
          </w:p>
          <w:p w:rsidR="004E6619" w:rsidRPr="004E6619" w:rsidRDefault="004E6619" w:rsidP="004E6619">
            <w:pPr>
              <w:pStyle w:val="Prrafodelista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ascii="Arial" w:hAnsi="Arial" w:cs="Arial"/>
                <w:i/>
                <w:color w:val="000000"/>
                <w:sz w:val="16"/>
                <w:szCs w:val="16"/>
              </w:rPr>
              <w:t>Resolución 027/2022 Plan de Capacitación, Bienestar e Incentivos</w:t>
            </w:r>
          </w:p>
          <w:p w:rsidR="004E6619" w:rsidRPr="004E6619" w:rsidRDefault="004E6619" w:rsidP="004E6619">
            <w:pPr>
              <w:rPr>
                <w:rFonts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rPr>
                <w:rFonts w:eastAsiaTheme="minorHAnsi" w:cs="Arial"/>
                <w:i/>
                <w:color w:val="000000"/>
                <w:sz w:val="16"/>
                <w:szCs w:val="16"/>
              </w:rPr>
            </w:pPr>
            <w:r w:rsidRPr="004E6619">
              <w:rPr>
                <w:rFonts w:cs="Arial"/>
                <w:i/>
                <w:sz w:val="16"/>
                <w:szCs w:val="16"/>
              </w:rPr>
              <w:t xml:space="preserve">Lo anterior, </w:t>
            </w:r>
            <w:r w:rsidRPr="004E6619">
              <w:rPr>
                <w:rFonts w:eastAsiaTheme="minorHAnsi" w:cs="Arial"/>
                <w:i/>
                <w:color w:val="000000"/>
                <w:sz w:val="16"/>
                <w:szCs w:val="16"/>
              </w:rPr>
              <w:t>En cumplimiento a los mandatos Constitucionales y legales en sus artículos 209 y 269, Ley 87 de 1993, Ley 489 de 1998, Decreto 1499 de 2017 y Decreto 1599 de 2015, en los cuales se indica que mediante el aseguramiento de los procesos que a través del plan anual de las auditorías internas y auditorias especiales y de formular recomendaciones a partir de evidencias, soportes y criterios validos, sobre el grado de cumplimiento de los objetivos, los planes de acción institucionales, que contribuyan al mejoramiento continuo de los procesos y procedimientos en desarrollo de la entidad, Vigencia - año 2023</w:t>
            </w:r>
          </w:p>
          <w:p w:rsidR="004E6619" w:rsidRPr="004E6619" w:rsidRDefault="004E6619" w:rsidP="004E6619">
            <w:pPr>
              <w:autoSpaceDE w:val="0"/>
              <w:autoSpaceDN w:val="0"/>
              <w:adjustRightInd w:val="0"/>
              <w:spacing w:after="80" w:line="247" w:lineRule="auto"/>
              <w:rPr>
                <w:rFonts w:eastAsiaTheme="minorHAnsi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rPr>
                <w:rFonts w:eastAsiaTheme="minorHAnsi" w:cs="Arial"/>
                <w:i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sz w:val="16"/>
                <w:szCs w:val="16"/>
              </w:rPr>
              <w:t>Atentamente</w:t>
            </w:r>
          </w:p>
          <w:p w:rsidR="004E6619" w:rsidRPr="004E6619" w:rsidRDefault="004E6619" w:rsidP="004E6619">
            <w:pPr>
              <w:rPr>
                <w:rFonts w:asciiTheme="minorHAnsi" w:eastAsiaTheme="minorHAnsi" w:hAnsiTheme="minorHAnsi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rPr>
                <w:rFonts w:asciiTheme="minorHAnsi" w:eastAsiaTheme="minorHAnsi" w:hAnsiTheme="minorHAnsi" w:cs="Arial"/>
                <w:i/>
                <w:sz w:val="16"/>
                <w:szCs w:val="16"/>
              </w:rPr>
            </w:pPr>
            <w:r w:rsidRPr="004E6619">
              <w:rPr>
                <w:rFonts w:asciiTheme="minorHAnsi" w:eastAsiaTheme="minorHAnsi" w:hAnsiTheme="minorHAnsi" w:cs="Arial"/>
                <w:i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161159" cy="390525"/>
                  <wp:effectExtent l="0" t="0" r="0" b="0"/>
                  <wp:docPr id="7" name="Imagen 1" descr="C:\Users\ajramirez\Downloads\firma papa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jramirez\Downloads\firma papa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28" cy="43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6619" w:rsidRPr="004E6619" w:rsidRDefault="004E6619" w:rsidP="004E6619">
            <w:pPr>
              <w:rPr>
                <w:rFonts w:eastAsiaTheme="minorHAnsi" w:cs="Arial"/>
                <w:i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sz w:val="16"/>
                <w:szCs w:val="16"/>
              </w:rPr>
              <w:t>ARLEY DE JESÚS RAMÍREZ PATIÑO</w:t>
            </w:r>
          </w:p>
          <w:p w:rsidR="004E6619" w:rsidRPr="004E6619" w:rsidRDefault="004E6619" w:rsidP="004E6619">
            <w:pPr>
              <w:rPr>
                <w:rFonts w:eastAsiaTheme="minorHAnsi" w:cs="Arial"/>
                <w:i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sz w:val="16"/>
                <w:szCs w:val="16"/>
              </w:rPr>
              <w:t>Jefe Oficina de Control interno</w:t>
            </w:r>
          </w:p>
          <w:p w:rsidR="004E6619" w:rsidRPr="004E6619" w:rsidRDefault="004E6619" w:rsidP="004E6619">
            <w:pPr>
              <w:rPr>
                <w:rFonts w:eastAsiaTheme="minorHAnsi" w:cs="Arial"/>
                <w:i/>
                <w:sz w:val="16"/>
                <w:szCs w:val="16"/>
              </w:rPr>
            </w:pPr>
          </w:p>
          <w:p w:rsidR="004E6619" w:rsidRPr="004E6619" w:rsidRDefault="004E6619" w:rsidP="004E6619">
            <w:pPr>
              <w:rPr>
                <w:rFonts w:eastAsiaTheme="minorHAnsi" w:cs="Arial"/>
                <w:i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sz w:val="16"/>
                <w:szCs w:val="16"/>
              </w:rPr>
              <w:t xml:space="preserve">P/E: Yaneth Quintero Salas-Contratista apoyo asistencial </w:t>
            </w:r>
            <w:r w:rsidRPr="004E6619">
              <w:rPr>
                <w:rFonts w:eastAsiaTheme="minorHAnsi" w:cs="Arial"/>
                <w:i/>
                <w:noProof/>
                <w:sz w:val="16"/>
                <w:szCs w:val="16"/>
              </w:rPr>
              <w:drawing>
                <wp:inline distT="0" distB="0" distL="0" distR="0">
                  <wp:extent cx="857250" cy="248476"/>
                  <wp:effectExtent l="19050" t="0" r="0" b="0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942" cy="25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6619" w:rsidRPr="004E6619" w:rsidRDefault="004E6619" w:rsidP="004E6619">
            <w:pPr>
              <w:rPr>
                <w:rFonts w:eastAsiaTheme="minorHAnsi" w:cs="Arial"/>
                <w:i/>
                <w:sz w:val="16"/>
                <w:szCs w:val="16"/>
              </w:rPr>
            </w:pPr>
            <w:r w:rsidRPr="004E6619">
              <w:rPr>
                <w:rFonts w:eastAsiaTheme="minorHAnsi" w:cs="Arial"/>
                <w:i/>
                <w:sz w:val="16"/>
                <w:szCs w:val="16"/>
              </w:rPr>
              <w:t>R/ Arley De Jesús Ramírez Patiño- Jefe Oficina de Control interno</w:t>
            </w:r>
          </w:p>
          <w:p w:rsidR="00FC4DDE" w:rsidRDefault="00FC4DDE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FC4DDE" w:rsidRPr="00AE4FE6" w:rsidRDefault="004E6619" w:rsidP="00300443">
            <w:pPr>
              <w:rPr>
                <w:rFonts w:cs="Arial"/>
                <w:sz w:val="24"/>
                <w:szCs w:val="24"/>
                <w:u w:val="single"/>
                <w:lang w:val="es-CO"/>
              </w:rPr>
            </w:pPr>
            <w:r w:rsidRPr="00AE4FE6">
              <w:rPr>
                <w:rFonts w:cs="Arial"/>
                <w:sz w:val="24"/>
                <w:szCs w:val="24"/>
                <w:u w:val="single"/>
                <w:lang w:val="es-CO"/>
              </w:rPr>
              <w:t xml:space="preserve">Plan de Auditoria Bienes y Servicios: </w:t>
            </w:r>
          </w:p>
          <w:p w:rsidR="00AE4FE6" w:rsidRDefault="00AE4FE6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AE4FE6" w:rsidRDefault="00BB32A1" w:rsidP="0030044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5970270" cy="3826510"/>
                  <wp:effectExtent l="0" t="0" r="0" b="0"/>
                  <wp:docPr id="1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270" cy="382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DE" w:rsidRDefault="00FC4DDE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7027BC" w:rsidRDefault="007027BC" w:rsidP="00955B32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877148" w:rsidRPr="00955B32" w:rsidRDefault="00BB32A1" w:rsidP="00955B3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Cs w:val="24"/>
              </w:rPr>
              <w:lastRenderedPageBreak/>
              <w:drawing>
                <wp:inline distT="0" distB="0" distL="0" distR="0">
                  <wp:extent cx="5970270" cy="4549140"/>
                  <wp:effectExtent l="19050" t="0" r="0" b="0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270" cy="454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B32" w:rsidRPr="00955B32" w:rsidRDefault="00955B32" w:rsidP="0030044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BB32A1" w:rsidRDefault="0026697C" w:rsidP="001F7723">
            <w:pPr>
              <w:rPr>
                <w:rFonts w:cs="Arial"/>
                <w:sz w:val="24"/>
                <w:szCs w:val="24"/>
                <w:lang w:val="es-CO"/>
              </w:rPr>
            </w:pPr>
            <w:r w:rsidRPr="00AE4FE6">
              <w:rPr>
                <w:rFonts w:cs="Arial"/>
                <w:sz w:val="24"/>
                <w:szCs w:val="24"/>
                <w:u w:val="single"/>
                <w:lang w:val="es-CO"/>
              </w:rPr>
              <w:t xml:space="preserve">Plan de Auditoria </w:t>
            </w:r>
            <w:r>
              <w:rPr>
                <w:rFonts w:cs="Arial"/>
                <w:sz w:val="24"/>
                <w:szCs w:val="24"/>
                <w:u w:val="single"/>
                <w:lang w:val="es-CO"/>
              </w:rPr>
              <w:t>Talento Humano</w:t>
            </w:r>
            <w:r w:rsidRPr="00AE4FE6">
              <w:rPr>
                <w:rFonts w:cs="Arial"/>
                <w:sz w:val="24"/>
                <w:szCs w:val="24"/>
                <w:u w:val="single"/>
                <w:lang w:val="es-CO"/>
              </w:rPr>
              <w:t>:</w:t>
            </w:r>
          </w:p>
          <w:p w:rsidR="00BB32A1" w:rsidRDefault="00BB32A1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BB32A1" w:rsidRDefault="00131978" w:rsidP="001F772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lastRenderedPageBreak/>
              <w:drawing>
                <wp:inline distT="0" distB="0" distL="0" distR="0">
                  <wp:extent cx="5970270" cy="3065780"/>
                  <wp:effectExtent l="0" t="0" r="0" b="0"/>
                  <wp:docPr id="1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270" cy="306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2A1" w:rsidRDefault="00BB32A1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BB32A1" w:rsidRDefault="00131978" w:rsidP="001F772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>
                  <wp:extent cx="5962650" cy="2735580"/>
                  <wp:effectExtent l="19050" t="0" r="0" b="0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73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2A1" w:rsidRDefault="00BB32A1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B1C1C" w:rsidRDefault="00CB1C1C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B1C1C" w:rsidRDefault="00CB1C1C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CB1C1C" w:rsidRDefault="00CB1C1C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131978" w:rsidRDefault="00131978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tbl>
            <w:tblPr>
              <w:tblW w:w="956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64"/>
              <w:gridCol w:w="3942"/>
              <w:gridCol w:w="2573"/>
              <w:gridCol w:w="2584"/>
            </w:tblGrid>
            <w:tr w:rsidR="00CB1C1C" w:rsidRPr="001A0273" w:rsidTr="008C397B">
              <w:trPr>
                <w:trHeight w:val="277"/>
                <w:jc w:val="center"/>
              </w:trPr>
              <w:tc>
                <w:tcPr>
                  <w:tcW w:w="44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CB1C1C" w:rsidRPr="001A0273" w:rsidRDefault="00CB1C1C" w:rsidP="008C397B">
                  <w:pPr>
                    <w:jc w:val="center"/>
                    <w:rPr>
                      <w:rFonts w:cs="Arial"/>
                      <w:b/>
                      <w:bCs/>
                      <w:szCs w:val="24"/>
                    </w:rPr>
                  </w:pPr>
                  <w:r w:rsidRPr="001A0273">
                    <w:rPr>
                      <w:rFonts w:cs="Arial"/>
                      <w:b/>
                      <w:bCs/>
                      <w:szCs w:val="24"/>
                    </w:rPr>
                    <w:t>COMPROMISOS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CB1C1C" w:rsidRPr="001A0273" w:rsidRDefault="00CB1C1C" w:rsidP="008C397B">
                  <w:pPr>
                    <w:jc w:val="center"/>
                    <w:rPr>
                      <w:rFonts w:cs="Arial"/>
                      <w:b/>
                      <w:bCs/>
                      <w:szCs w:val="24"/>
                    </w:rPr>
                  </w:pPr>
                  <w:r w:rsidRPr="001A0273">
                    <w:rPr>
                      <w:rFonts w:cs="Arial"/>
                      <w:b/>
                      <w:bCs/>
                      <w:szCs w:val="24"/>
                    </w:rPr>
                    <w:t>RESPONSABLE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CB1C1C" w:rsidRPr="001A0273" w:rsidRDefault="00CB1C1C" w:rsidP="008C397B">
                  <w:pPr>
                    <w:jc w:val="center"/>
                    <w:rPr>
                      <w:rFonts w:cs="Arial"/>
                      <w:b/>
                      <w:bCs/>
                      <w:szCs w:val="24"/>
                    </w:rPr>
                  </w:pPr>
                  <w:r w:rsidRPr="001A0273">
                    <w:rPr>
                      <w:rFonts w:cs="Arial"/>
                      <w:b/>
                      <w:bCs/>
                      <w:szCs w:val="24"/>
                    </w:rPr>
                    <w:t>FECHA</w:t>
                  </w:r>
                </w:p>
                <w:p w:rsidR="00CB1C1C" w:rsidRPr="001A0273" w:rsidRDefault="00CB1C1C" w:rsidP="008C397B">
                  <w:pPr>
                    <w:jc w:val="center"/>
                    <w:rPr>
                      <w:rFonts w:cs="Arial"/>
                      <w:b/>
                      <w:bCs/>
                      <w:szCs w:val="24"/>
                    </w:rPr>
                  </w:pPr>
                  <w:r w:rsidRPr="001A0273">
                    <w:rPr>
                      <w:rFonts w:cs="Arial"/>
                      <w:b/>
                      <w:bCs/>
                      <w:szCs w:val="24"/>
                    </w:rPr>
                    <w:t>PROGRAMADA</w:t>
                  </w:r>
                </w:p>
              </w:tc>
            </w:tr>
            <w:tr w:rsidR="00CB1C1C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CB1C1C" w:rsidRPr="001A0273" w:rsidRDefault="00CB1C1C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  <w:r>
                    <w:rPr>
                      <w:rFonts w:cs="Arial"/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CB1C1C" w:rsidRDefault="00CB1C1C" w:rsidP="008C397B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CB1C1C">
                    <w:rPr>
                      <w:rFonts w:eastAsia="Arial" w:cs="Arial"/>
                      <w:kern w:val="3"/>
                      <w:sz w:val="16"/>
                      <w:szCs w:val="16"/>
                    </w:rPr>
                    <w:t>Plan Anual de adquisiciones, vigencias 2022 y 2023 Resolución 015  de 2022 (24 de enero) Por medio de la cual se adopta el Plan anual de adquisiciones para la vigencia fiscal 2022 y Resolución que adopta plan adquisiciones vigencia 2023.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CB1C1C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María Oliva Londoño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CB1C1C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CB1C1C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CB1C1C" w:rsidRPr="001A0273" w:rsidRDefault="00CB1C1C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  <w:r>
                    <w:rPr>
                      <w:rFonts w:cs="Arial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CB1C1C" w:rsidRDefault="00CB1C1C" w:rsidP="00CB1C1C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CB1C1C">
                    <w:rPr>
                      <w:rFonts w:eastAsia="Arial" w:cs="Arial"/>
                      <w:kern w:val="3"/>
                      <w:sz w:val="16"/>
                      <w:szCs w:val="16"/>
                    </w:rPr>
                    <w:t xml:space="preserve">Resoluciones mediante la cual se adopta el presupuesto municipal para la vigencia 2022 y 2023.  </w:t>
                  </w:r>
                </w:p>
                <w:p w:rsidR="00CB1C1C" w:rsidRPr="00CB1C1C" w:rsidRDefault="00CB1C1C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CB1C1C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María Oliva Londoño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CB1C1C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CB1C1C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CB1C1C" w:rsidRPr="001A0273" w:rsidRDefault="00CB1C1C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  <w:r>
                    <w:rPr>
                      <w:rFonts w:cs="Arial"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CB1C1C" w:rsidRDefault="00CB1C1C" w:rsidP="00CB1C1C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CB1C1C">
                    <w:rPr>
                      <w:rFonts w:eastAsia="Arial" w:cs="Arial"/>
                      <w:kern w:val="3"/>
                      <w:sz w:val="16"/>
                      <w:szCs w:val="16"/>
                    </w:rPr>
                    <w:t>Resolución Por medio de la cual se adopta el presupuesto de la Personería de Itagüí, para la vigencia fiscal 2022 y 2023.</w:t>
                  </w:r>
                </w:p>
                <w:p w:rsidR="00CB1C1C" w:rsidRPr="00CB1C1C" w:rsidRDefault="00CB1C1C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CB1C1C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María Oliva Londoño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CB1C1C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CB1C1C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CB1C1C" w:rsidRPr="001A0273" w:rsidRDefault="005423F5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  <w:r>
                    <w:rPr>
                      <w:rFonts w:cs="Arial"/>
                      <w:bCs/>
                      <w:szCs w:val="24"/>
                    </w:rPr>
                    <w:t>4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23F5" w:rsidRPr="005423F5" w:rsidRDefault="005423F5" w:rsidP="005423F5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5423F5">
                    <w:rPr>
                      <w:rFonts w:eastAsia="Arial" w:cs="Arial"/>
                      <w:kern w:val="3"/>
                      <w:sz w:val="16"/>
                      <w:szCs w:val="16"/>
                    </w:rPr>
                    <w:t>Actualización de los inventarios de Bienes de la Entidad</w:t>
                  </w:r>
                </w:p>
                <w:p w:rsidR="00CB1C1C" w:rsidRPr="005423F5" w:rsidRDefault="00CB1C1C" w:rsidP="005423F5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5423F5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Katherine López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1C1C" w:rsidRPr="006E760D" w:rsidRDefault="005423F5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8C397B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8C397B" w:rsidRDefault="008C397B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8C397B" w:rsidRDefault="008C397B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8C397B">
                    <w:rPr>
                      <w:rFonts w:eastAsia="Arial" w:cs="Arial"/>
                      <w:kern w:val="3"/>
                      <w:sz w:val="16"/>
                      <w:szCs w:val="16"/>
                    </w:rPr>
                    <w:t>Parque automotor de la Entidad y la ejecución del Plan de mantenimiento Preventivo en el cronograma anual 2022.</w:t>
                  </w:r>
                </w:p>
                <w:p w:rsidR="008C397B" w:rsidRPr="005423F5" w:rsidRDefault="008C397B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6E760D" w:rsidRDefault="008C397B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Alexander Mira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6E760D" w:rsidRDefault="00E46C1A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8C397B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8C397B" w:rsidRDefault="008C397B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8C397B" w:rsidRDefault="008C397B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8C397B">
                    <w:rPr>
                      <w:rFonts w:eastAsia="Arial" w:cs="Arial"/>
                      <w:kern w:val="3"/>
                      <w:sz w:val="16"/>
                      <w:szCs w:val="16"/>
                    </w:rPr>
                    <w:t>La gestión de la Caja Menor, Vigencias 2021-2022 y lo que va del año 2023, actividades de apertura, ejecución y cierre.</w:t>
                  </w:r>
                </w:p>
                <w:p w:rsidR="008C397B" w:rsidRPr="005423F5" w:rsidRDefault="008C397B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6E760D" w:rsidRDefault="008C397B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Katherine López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6E760D" w:rsidRDefault="008C397B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8C397B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8C397B" w:rsidRDefault="008C397B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8C397B" w:rsidRDefault="008C397B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8C397B">
                    <w:rPr>
                      <w:rFonts w:eastAsia="Arial" w:cs="Arial"/>
                      <w:kern w:val="3"/>
                      <w:sz w:val="16"/>
                      <w:szCs w:val="16"/>
                    </w:rPr>
                    <w:t>Relación de contratos celebrados durante la vigencia 2022, tabla en Excel que contenga, Numero del contrato o código, Objeto, Fecha de inicio y fecha de terminación, valor del contrato, adiciones, modalidad de contratación, tipo de contrato, Nombre de contratista, identificación del contratista, nombre del supervisor, Rubro presupuestal, y Estado (Suspendido, terminado, proceso, Liquidado).</w:t>
                  </w:r>
                </w:p>
                <w:p w:rsidR="008C397B" w:rsidRPr="005423F5" w:rsidRDefault="008C397B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6E760D" w:rsidRDefault="008C397B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María Oliva Londoño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97B" w:rsidRPr="006E760D" w:rsidRDefault="008C397B" w:rsidP="008C397B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  <w:tr w:rsidR="006E760D" w:rsidRPr="001A0273" w:rsidTr="008C397B">
              <w:trPr>
                <w:trHeight w:val="277"/>
                <w:jc w:val="center"/>
              </w:trPr>
              <w:tc>
                <w:tcPr>
                  <w:tcW w:w="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6E760D" w:rsidRDefault="006E760D" w:rsidP="005423F5">
                  <w:pPr>
                    <w:jc w:val="center"/>
                    <w:rPr>
                      <w:rFonts w:cs="Arial"/>
                      <w:bCs/>
                      <w:szCs w:val="24"/>
                    </w:rPr>
                  </w:pP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760D" w:rsidRPr="008C397B" w:rsidRDefault="006E760D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  <w:r w:rsidRPr="008C397B">
                    <w:rPr>
                      <w:rFonts w:eastAsia="Arial" w:cs="Arial"/>
                      <w:kern w:val="3"/>
                      <w:sz w:val="16"/>
                      <w:szCs w:val="16"/>
                    </w:rPr>
                    <w:t>Plan de Capacitación y sistema de estímulos incluyendo el programa para pre-pensionados; Actas</w:t>
                  </w:r>
                  <w:r>
                    <w:rPr>
                      <w:rFonts w:eastAsia="Arial" w:cs="Arial"/>
                      <w:kern w:val="3"/>
                      <w:sz w:val="16"/>
                      <w:szCs w:val="16"/>
                    </w:rPr>
                    <w:t xml:space="preserve"> de los Comités</w:t>
                  </w:r>
                </w:p>
                <w:p w:rsidR="006E760D" w:rsidRPr="005423F5" w:rsidRDefault="006E760D" w:rsidP="008C397B">
                  <w:pPr>
                    <w:rPr>
                      <w:rFonts w:eastAsia="Arial" w:cs="Arial"/>
                      <w:kern w:val="3"/>
                      <w:sz w:val="16"/>
                      <w:szCs w:val="16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760D" w:rsidRPr="006E760D" w:rsidRDefault="006E760D" w:rsidP="007D70B4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Katherine López</w:t>
                  </w:r>
                </w:p>
              </w:tc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760D" w:rsidRPr="006E760D" w:rsidRDefault="006E760D" w:rsidP="007D70B4">
                  <w:pPr>
                    <w:rPr>
                      <w:rFonts w:cs="Arial"/>
                      <w:bCs/>
                      <w:szCs w:val="22"/>
                    </w:rPr>
                  </w:pPr>
                  <w:r w:rsidRPr="006E760D">
                    <w:rPr>
                      <w:rFonts w:cs="Arial"/>
                      <w:bCs/>
                      <w:sz w:val="22"/>
                      <w:szCs w:val="22"/>
                    </w:rPr>
                    <w:t>Antes del 31 de mayo</w:t>
                  </w:r>
                </w:p>
              </w:tc>
            </w:tr>
          </w:tbl>
          <w:p w:rsidR="00CB1C1C" w:rsidRDefault="00CB1C1C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131978" w:rsidRDefault="006E760D" w:rsidP="001F7723">
            <w:pPr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>Es preciso anotar que las carpetas que se requieran de los años 2021 y 2022 se encuentran en el archivo central, es decir se deben solicitar a Vanesa Castañeda.</w:t>
            </w:r>
          </w:p>
          <w:p w:rsidR="00131978" w:rsidRDefault="00131978" w:rsidP="001F7723">
            <w:pPr>
              <w:rPr>
                <w:rFonts w:cs="Arial"/>
                <w:sz w:val="24"/>
                <w:szCs w:val="24"/>
                <w:lang w:val="es-CO"/>
              </w:rPr>
            </w:pPr>
          </w:p>
          <w:p w:rsidR="00955B32" w:rsidRDefault="006714E5" w:rsidP="001F7723">
            <w:pPr>
              <w:rPr>
                <w:rFonts w:cs="Arial"/>
                <w:sz w:val="24"/>
                <w:szCs w:val="24"/>
                <w:lang w:val="es-CO"/>
              </w:rPr>
            </w:pPr>
            <w:r w:rsidRPr="006714E5">
              <w:rPr>
                <w:rFonts w:cs="Arial"/>
                <w:sz w:val="24"/>
                <w:szCs w:val="24"/>
                <w:lang w:val="es-CO"/>
              </w:rPr>
              <w:t xml:space="preserve">No siendo más los temas a tratar </w:t>
            </w:r>
            <w:r w:rsidR="006E760D">
              <w:rPr>
                <w:rFonts w:cs="Arial"/>
                <w:sz w:val="24"/>
                <w:szCs w:val="24"/>
                <w:lang w:val="es-CO"/>
              </w:rPr>
              <w:t>se</w:t>
            </w:r>
            <w:r w:rsidR="001F7723">
              <w:rPr>
                <w:rFonts w:cs="Arial"/>
                <w:sz w:val="24"/>
                <w:szCs w:val="24"/>
                <w:lang w:val="es-CO"/>
              </w:rPr>
              <w:t xml:space="preserve"> da por terminada </w:t>
            </w:r>
            <w:r w:rsidRPr="006714E5">
              <w:rPr>
                <w:rFonts w:cs="Arial"/>
                <w:sz w:val="24"/>
                <w:szCs w:val="24"/>
                <w:lang w:val="es-CO"/>
              </w:rPr>
              <w:t>la reunión.</w:t>
            </w:r>
          </w:p>
          <w:p w:rsidR="001F7723" w:rsidRPr="0007287E" w:rsidRDefault="001F7723" w:rsidP="001F7723">
            <w:pPr>
              <w:rPr>
                <w:rFonts w:cs="Arial"/>
                <w:b/>
                <w:sz w:val="24"/>
                <w:szCs w:val="24"/>
                <w:lang w:val="es-CO"/>
              </w:rPr>
            </w:pPr>
          </w:p>
        </w:tc>
      </w:tr>
    </w:tbl>
    <w:p w:rsidR="00FE3503" w:rsidRDefault="006714E5" w:rsidP="009A5B92">
      <w:pPr>
        <w:spacing w:after="160" w:line="259" w:lineRule="auto"/>
        <w:jc w:val="left"/>
        <w:rPr>
          <w:rFonts w:cs="Arial"/>
          <w:szCs w:val="24"/>
          <w:lang w:val="es-CO"/>
        </w:rPr>
      </w:pPr>
      <w:r w:rsidRPr="006714E5">
        <w:rPr>
          <w:rFonts w:cs="Arial"/>
          <w:szCs w:val="24"/>
          <w:lang w:val="es-CO"/>
        </w:rPr>
        <w:lastRenderedPageBreak/>
        <w:t>Anexo listado de asistencia</w:t>
      </w:r>
      <w:bookmarkStart w:id="0" w:name="_GoBack"/>
      <w:bookmarkEnd w:id="0"/>
    </w:p>
    <w:sectPr w:rsidR="00FE3503" w:rsidSect="0061129D">
      <w:headerReference w:type="default" r:id="rId16"/>
      <w:footerReference w:type="default" r:id="rId17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B4" w:rsidRDefault="007D70B4" w:rsidP="00C50F77">
      <w:r>
        <w:separator/>
      </w:r>
    </w:p>
  </w:endnote>
  <w:endnote w:type="continuationSeparator" w:id="0">
    <w:p w:rsidR="007D70B4" w:rsidRDefault="007D70B4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D70B4" w:rsidRPr="00E25F48" w:rsidTr="003F6CF9">
      <w:tc>
        <w:tcPr>
          <w:tcW w:w="5796" w:type="dxa"/>
          <w:shd w:val="clear" w:color="auto" w:fill="auto"/>
        </w:tcPr>
        <w:p w:rsidR="007D70B4" w:rsidRPr="00E25F48" w:rsidRDefault="007D70B4" w:rsidP="003F6CF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D70B4" w:rsidRPr="00E25F48" w:rsidRDefault="007D70B4" w:rsidP="003F6CF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0B4" w:rsidRDefault="007D70B4">
    <w:pPr>
      <w:pStyle w:val="Piedepgina"/>
    </w:pPr>
  </w:p>
  <w:p w:rsidR="007D70B4" w:rsidRDefault="007D70B4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B4" w:rsidRDefault="007D70B4" w:rsidP="00C50F77">
      <w:r>
        <w:separator/>
      </w:r>
    </w:p>
  </w:footnote>
  <w:footnote w:type="continuationSeparator" w:id="0">
    <w:p w:rsidR="007D70B4" w:rsidRDefault="007D70B4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7D70B4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7D70B4" w:rsidRDefault="007D70B4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7D70B4" w:rsidRPr="00AF13AC" w:rsidRDefault="007D70B4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7D70B4" w:rsidRPr="00DA48EF" w:rsidRDefault="007D70B4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7D70B4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7D70B4" w:rsidRDefault="007D70B4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7D70B4" w:rsidRPr="00AF13AC" w:rsidRDefault="007D70B4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7D70B4" w:rsidRPr="00DA48EF" w:rsidRDefault="007D70B4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7D70B4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7D70B4" w:rsidRDefault="007D70B4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7D70B4" w:rsidRPr="00AF13AC" w:rsidRDefault="007D70B4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7D70B4" w:rsidRPr="00DA48EF" w:rsidRDefault="007D70B4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7D70B4" w:rsidRPr="00DA48EF" w:rsidRDefault="007D70B4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7D70B4" w:rsidRDefault="007D70B4">
    <w:pPr>
      <w:pStyle w:val="Encabezado"/>
      <w:rPr>
        <w:noProof/>
        <w:lang w:eastAsia="es-CO"/>
      </w:rPr>
    </w:pPr>
  </w:p>
  <w:p w:rsidR="007D70B4" w:rsidRDefault="007D70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7A20"/>
    <w:multiLevelType w:val="hybridMultilevel"/>
    <w:tmpl w:val="BB400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B7C65"/>
    <w:multiLevelType w:val="hybridMultilevel"/>
    <w:tmpl w:val="F3186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E317A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F729A"/>
    <w:multiLevelType w:val="hybridMultilevel"/>
    <w:tmpl w:val="AB6AB13A"/>
    <w:lvl w:ilvl="0" w:tplc="A406F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40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A4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5A1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A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27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04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40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41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1F2CCB"/>
    <w:multiLevelType w:val="hybridMultilevel"/>
    <w:tmpl w:val="6CA2DF34"/>
    <w:lvl w:ilvl="0" w:tplc="61FA2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25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C1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4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0B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8B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6F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C1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68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BD78DE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A2562"/>
    <w:multiLevelType w:val="hybridMultilevel"/>
    <w:tmpl w:val="C568DB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A1377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73BC5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16E73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26312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E797E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C2851"/>
    <w:multiLevelType w:val="hybridMultilevel"/>
    <w:tmpl w:val="BB400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15"/>
  </w:num>
  <w:num w:numId="5">
    <w:abstractNumId w:val="20"/>
  </w:num>
  <w:num w:numId="6">
    <w:abstractNumId w:val="2"/>
  </w:num>
  <w:num w:numId="7">
    <w:abstractNumId w:val="16"/>
  </w:num>
  <w:num w:numId="8">
    <w:abstractNumId w:val="12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  <w:num w:numId="14">
    <w:abstractNumId w:val="3"/>
  </w:num>
  <w:num w:numId="15">
    <w:abstractNumId w:val="1"/>
  </w:num>
  <w:num w:numId="16">
    <w:abstractNumId w:val="18"/>
  </w:num>
  <w:num w:numId="17">
    <w:abstractNumId w:val="11"/>
  </w:num>
  <w:num w:numId="18">
    <w:abstractNumId w:val="4"/>
  </w:num>
  <w:num w:numId="19">
    <w:abstractNumId w:val="14"/>
  </w:num>
  <w:num w:numId="20">
    <w:abstractNumId w:val="10"/>
  </w:num>
  <w:num w:numId="21">
    <w:abstractNumId w:val="1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36672"/>
    <w:rsid w:val="000407B4"/>
    <w:rsid w:val="000454F9"/>
    <w:rsid w:val="0005711D"/>
    <w:rsid w:val="0006526A"/>
    <w:rsid w:val="0007287E"/>
    <w:rsid w:val="00081FD2"/>
    <w:rsid w:val="000B00C6"/>
    <w:rsid w:val="000C6553"/>
    <w:rsid w:val="00121A22"/>
    <w:rsid w:val="00131978"/>
    <w:rsid w:val="001803DB"/>
    <w:rsid w:val="00197A8D"/>
    <w:rsid w:val="001A0273"/>
    <w:rsid w:val="001A519B"/>
    <w:rsid w:val="001B2FEC"/>
    <w:rsid w:val="001E4D5B"/>
    <w:rsid w:val="001F7723"/>
    <w:rsid w:val="00202B46"/>
    <w:rsid w:val="002113D6"/>
    <w:rsid w:val="00240043"/>
    <w:rsid w:val="00255711"/>
    <w:rsid w:val="0026697C"/>
    <w:rsid w:val="00290499"/>
    <w:rsid w:val="00294135"/>
    <w:rsid w:val="00294711"/>
    <w:rsid w:val="002B70B9"/>
    <w:rsid w:val="002D532E"/>
    <w:rsid w:val="002E4885"/>
    <w:rsid w:val="002F4F8E"/>
    <w:rsid w:val="00300443"/>
    <w:rsid w:val="00310D8F"/>
    <w:rsid w:val="003300C0"/>
    <w:rsid w:val="00342DBD"/>
    <w:rsid w:val="003962B1"/>
    <w:rsid w:val="003C0AAA"/>
    <w:rsid w:val="003D17ED"/>
    <w:rsid w:val="003E30FD"/>
    <w:rsid w:val="003E34EC"/>
    <w:rsid w:val="003E3E2E"/>
    <w:rsid w:val="003F6CF9"/>
    <w:rsid w:val="00402E6F"/>
    <w:rsid w:val="00423267"/>
    <w:rsid w:val="004454FF"/>
    <w:rsid w:val="00465388"/>
    <w:rsid w:val="0047120B"/>
    <w:rsid w:val="0047390C"/>
    <w:rsid w:val="00477716"/>
    <w:rsid w:val="004A2137"/>
    <w:rsid w:val="004A7906"/>
    <w:rsid w:val="004B6781"/>
    <w:rsid w:val="004E3DAC"/>
    <w:rsid w:val="004E6619"/>
    <w:rsid w:val="00500C0D"/>
    <w:rsid w:val="00523A39"/>
    <w:rsid w:val="00534938"/>
    <w:rsid w:val="005423F5"/>
    <w:rsid w:val="00554A76"/>
    <w:rsid w:val="005E700B"/>
    <w:rsid w:val="0061129D"/>
    <w:rsid w:val="0062238D"/>
    <w:rsid w:val="006512A5"/>
    <w:rsid w:val="006714E5"/>
    <w:rsid w:val="00676819"/>
    <w:rsid w:val="006B06B6"/>
    <w:rsid w:val="006B7F30"/>
    <w:rsid w:val="006E760D"/>
    <w:rsid w:val="006F5721"/>
    <w:rsid w:val="00701D59"/>
    <w:rsid w:val="007027BC"/>
    <w:rsid w:val="00724669"/>
    <w:rsid w:val="00746ED0"/>
    <w:rsid w:val="007615FB"/>
    <w:rsid w:val="007B0C8C"/>
    <w:rsid w:val="007B1580"/>
    <w:rsid w:val="007D69C5"/>
    <w:rsid w:val="007D70B4"/>
    <w:rsid w:val="007F092F"/>
    <w:rsid w:val="007F7EC0"/>
    <w:rsid w:val="00810D6F"/>
    <w:rsid w:val="008735DB"/>
    <w:rsid w:val="00876650"/>
    <w:rsid w:val="00877148"/>
    <w:rsid w:val="008C397B"/>
    <w:rsid w:val="00903D7B"/>
    <w:rsid w:val="00905F76"/>
    <w:rsid w:val="00941944"/>
    <w:rsid w:val="00955B32"/>
    <w:rsid w:val="00983B79"/>
    <w:rsid w:val="009A326D"/>
    <w:rsid w:val="009A5B92"/>
    <w:rsid w:val="009D5D0E"/>
    <w:rsid w:val="009F4BE3"/>
    <w:rsid w:val="00A07762"/>
    <w:rsid w:val="00A40113"/>
    <w:rsid w:val="00AC421C"/>
    <w:rsid w:val="00AC47B2"/>
    <w:rsid w:val="00AD51A4"/>
    <w:rsid w:val="00AD60CD"/>
    <w:rsid w:val="00AD63D1"/>
    <w:rsid w:val="00AE4FE6"/>
    <w:rsid w:val="00B231BE"/>
    <w:rsid w:val="00B50CA1"/>
    <w:rsid w:val="00B569BF"/>
    <w:rsid w:val="00BB32A1"/>
    <w:rsid w:val="00BB4231"/>
    <w:rsid w:val="00BB44B7"/>
    <w:rsid w:val="00BC1932"/>
    <w:rsid w:val="00BE3AE4"/>
    <w:rsid w:val="00BF0A12"/>
    <w:rsid w:val="00C04646"/>
    <w:rsid w:val="00C307E4"/>
    <w:rsid w:val="00C50F77"/>
    <w:rsid w:val="00C52729"/>
    <w:rsid w:val="00C7323B"/>
    <w:rsid w:val="00C86845"/>
    <w:rsid w:val="00C903F5"/>
    <w:rsid w:val="00C9555D"/>
    <w:rsid w:val="00CA60D4"/>
    <w:rsid w:val="00CB1C1C"/>
    <w:rsid w:val="00CB2C97"/>
    <w:rsid w:val="00CB748C"/>
    <w:rsid w:val="00CD4AF3"/>
    <w:rsid w:val="00CE16DB"/>
    <w:rsid w:val="00D66DC4"/>
    <w:rsid w:val="00DA16F9"/>
    <w:rsid w:val="00DB58EE"/>
    <w:rsid w:val="00DB6C12"/>
    <w:rsid w:val="00DD207D"/>
    <w:rsid w:val="00DD614B"/>
    <w:rsid w:val="00E317F1"/>
    <w:rsid w:val="00E34221"/>
    <w:rsid w:val="00E46C1A"/>
    <w:rsid w:val="00E474D4"/>
    <w:rsid w:val="00E63A22"/>
    <w:rsid w:val="00EA19DC"/>
    <w:rsid w:val="00EA32C1"/>
    <w:rsid w:val="00F0280D"/>
    <w:rsid w:val="00F03473"/>
    <w:rsid w:val="00F53319"/>
    <w:rsid w:val="00FA3413"/>
    <w:rsid w:val="00FC4DDE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uiPriority w:val="99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7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7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9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2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0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7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general@personeriaitagui.gov.co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ui.gov.co" TargetMode="Externa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3078-1BD4-4B6C-B2B8-1EF3559A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1090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29</cp:revision>
  <cp:lastPrinted>2023-05-11T20:13:00Z</cp:lastPrinted>
  <dcterms:created xsi:type="dcterms:W3CDTF">2023-05-10T13:02:00Z</dcterms:created>
  <dcterms:modified xsi:type="dcterms:W3CDTF">2023-05-29T21:04:00Z</dcterms:modified>
</cp:coreProperties>
</file>