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3C385D" w:rsidP="00863572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937"/>
      </w:tblGrid>
      <w:tr w:rsidR="00101355" w:rsidRPr="00101355" w:rsidTr="00AA0BF4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4937" w:type="dxa"/>
          </w:tcPr>
          <w:p w:rsidR="003C385D" w:rsidRPr="00101355" w:rsidRDefault="008C2DEE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ARQUEO </w:t>
            </w:r>
            <w:r w:rsidR="007A7B8C">
              <w:rPr>
                <w:rFonts w:ascii="Arial" w:hAnsi="Arial" w:cs="Arial"/>
                <w:sz w:val="24"/>
                <w:szCs w:val="24"/>
                <w:lang w:val="es-CO"/>
              </w:rPr>
              <w:t xml:space="preserve">MANEJO </w:t>
            </w:r>
            <w:r w:rsidR="00C77B3B">
              <w:rPr>
                <w:rFonts w:ascii="Arial" w:hAnsi="Arial" w:cs="Arial"/>
                <w:sz w:val="24"/>
                <w:szCs w:val="24"/>
                <w:lang w:val="es-CO"/>
              </w:rPr>
              <w:t>FONDO CAJA MENOR DE LA PERSONERÍ</w:t>
            </w:r>
            <w:r w:rsidR="007A7B8C">
              <w:rPr>
                <w:rFonts w:ascii="Arial" w:hAnsi="Arial" w:cs="Arial"/>
                <w:sz w:val="24"/>
                <w:szCs w:val="24"/>
                <w:lang w:val="es-CO"/>
              </w:rPr>
              <w:t>A MUNICIPAL</w:t>
            </w: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5053"/>
      </w:tblGrid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C77B3B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AUDITORÍ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  <w:shd w:val="clear" w:color="auto" w:fill="auto"/>
          </w:tcPr>
          <w:p w:rsidR="00671DEC" w:rsidRPr="00C42FBA" w:rsidRDefault="00CC4B11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Septiembre</w:t>
            </w:r>
            <w:r w:rsidR="007A7B8C">
              <w:rPr>
                <w:rFonts w:ascii="Arial" w:hAnsi="Arial" w:cs="Arial"/>
                <w:sz w:val="24"/>
                <w:szCs w:val="24"/>
                <w:lang w:val="es-CO"/>
              </w:rPr>
              <w:t xml:space="preserve"> 2023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C77B3B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LÍ</w:t>
            </w:r>
            <w:r w:rsidR="00F50967">
              <w:rPr>
                <w:rFonts w:ascii="Arial" w:hAnsi="Arial" w:cs="Arial"/>
                <w:b/>
                <w:sz w:val="24"/>
                <w:szCs w:val="24"/>
                <w:lang w:val="es-CO"/>
              </w:rPr>
              <w:t>DER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7A7B8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Arley de Jesús Ramírez</w:t>
            </w:r>
            <w:r w:rsidR="00C77B3B">
              <w:rPr>
                <w:rFonts w:ascii="Arial" w:hAnsi="Arial" w:cs="Arial"/>
                <w:sz w:val="24"/>
                <w:szCs w:val="24"/>
                <w:lang w:val="es-CO"/>
              </w:rPr>
              <w:t xml:space="preserve"> Patiño</w:t>
            </w:r>
          </w:p>
        </w:tc>
        <w:tc>
          <w:tcPr>
            <w:tcW w:w="5053" w:type="dxa"/>
            <w:shd w:val="clear" w:color="auto" w:fill="auto"/>
          </w:tcPr>
          <w:p w:rsidR="00671DEC" w:rsidRPr="00C42FBA" w:rsidRDefault="00671DEC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D9D9D9"/>
          </w:tcPr>
          <w:p w:rsidR="00671DEC" w:rsidRPr="00F50967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F509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auto"/>
          </w:tcPr>
          <w:p w:rsidR="00671DEC" w:rsidRPr="00C42FBA" w:rsidRDefault="008C2DEE" w:rsidP="00910C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Katherine</w:t>
            </w:r>
            <w:r w:rsidR="00910C43">
              <w:rPr>
                <w:rFonts w:ascii="Arial" w:hAnsi="Arial" w:cs="Arial"/>
                <w:sz w:val="24"/>
                <w:szCs w:val="24"/>
                <w:lang w:val="es-CO"/>
              </w:rPr>
              <w:t xml:space="preserve"> López Roldán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Secretaria Ejecutiva</w:t>
            </w: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C77B3B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AUDITORÍ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CB6B5F" w:rsidRPr="00C42FBA" w:rsidRDefault="007A7B8C" w:rsidP="00B5169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el cumplimiento y correcto manejo de la caja menor conforme a la Ley 87 de 1993 donde establece la obligación de adoptar controles internos para proteger los recursos de la organización.</w:t>
            </w: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C77B3B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AUDITORÍ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Default="007A7B8C" w:rsidP="00B5169F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Con el fin de cumplir con las políticas y actuaciones relacionadas con el proceso, se efectuó evaluación</w:t>
            </w:r>
            <w:r w:rsidR="00226925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por la Oficina de Control Interno en Cumplimiento de los mandatos De </w:t>
            </w:r>
            <w:r w:rsidR="008C2DEE" w:rsidRP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la Ley 87 de 1993 y demás Decretos reglamentarios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; se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utilizaron técnicas de auditoría,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en cumplimiento del procedimiento;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como la veri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ficación ocular, listas de chequeo de documentos revisión del diligenciamiento de los Formatos FBS 33-34-35 Y 37 establecidos por el SGC para el reporte de caja menor: Adicionalmente la revisión de: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(actos administrativos, pólizas, entrevista directa, revisión 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carpetas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</w:t>
            </w:r>
            <w:r w:rsidR="008C2DEE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de los formatos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), aplicativo en Excel de los datos con la funcionaria responsable para el manejo de caja meno</w:t>
            </w:r>
            <w:r w:rsidR="00B5169F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r la funcionaria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KAT</w:t>
            </w:r>
            <w:r w:rsidR="005B5A80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H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ERINE LOPEZ ROLDAN,</w:t>
            </w:r>
            <w:r w:rsidR="00B5169F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Secretaria Ejecutiva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quien fue asignada</w:t>
            </w:r>
            <w:r w:rsidR="005B5A80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mediante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la Resolución</w:t>
            </w:r>
            <w:r w:rsidR="00B5169F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9 del 25 de enero de 2023</w:t>
            </w:r>
            <w:r w:rsidR="005B5A80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para llevar el proceso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.</w:t>
            </w:r>
          </w:p>
          <w:p w:rsidR="00B5169F" w:rsidRPr="00C42FBA" w:rsidRDefault="00B5169F" w:rsidP="007A7B8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</w:t>
            </w:r>
            <w:r w:rsidR="00E16085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</w:t>
            </w:r>
            <w:r w:rsidR="00C77B3B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AUDITORÍ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>A)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7A7B8C" w:rsidRDefault="007A7B8C" w:rsidP="007A7B8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  <w:t xml:space="preserve">MARCO NORMATIVO </w:t>
            </w:r>
          </w:p>
          <w:p w:rsidR="005B5A80" w:rsidRDefault="005B5A80" w:rsidP="005B5A80">
            <w:pPr>
              <w:pStyle w:val="Prrafode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Constitución Política de 1991, artículo 209</w:t>
            </w:r>
          </w:p>
          <w:p w:rsidR="005B5A80" w:rsidRDefault="005B5A80" w:rsidP="005B5A80">
            <w:pPr>
              <w:pStyle w:val="Prrafode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DEE">
              <w:rPr>
                <w:rFonts w:ascii="Arial" w:hAnsi="Arial" w:cs="Arial"/>
                <w:sz w:val="24"/>
                <w:szCs w:val="24"/>
              </w:rPr>
              <w:t>Ley 87 de 1993</w:t>
            </w:r>
          </w:p>
          <w:p w:rsidR="007A7B8C" w:rsidRDefault="007A7B8C" w:rsidP="00910C4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Resolución</w:t>
            </w:r>
            <w:r w:rsidR="00B5169F">
              <w:rPr>
                <w:rFonts w:ascii="Arial" w:hAnsi="Arial" w:cs="Arial"/>
                <w:sz w:val="24"/>
                <w:szCs w:val="24"/>
              </w:rPr>
              <w:t xml:space="preserve">  9 del 25 enero </w:t>
            </w:r>
            <w:r>
              <w:rPr>
                <w:rFonts w:ascii="Arial" w:hAnsi="Arial" w:cs="Arial"/>
                <w:sz w:val="24"/>
                <w:szCs w:val="24"/>
              </w:rPr>
              <w:t>de 20</w:t>
            </w:r>
            <w:r w:rsidR="00D57CE8">
              <w:rPr>
                <w:rFonts w:ascii="Arial" w:hAnsi="Arial" w:cs="Arial"/>
                <w:sz w:val="24"/>
                <w:szCs w:val="24"/>
              </w:rPr>
              <w:t>2</w:t>
            </w:r>
            <w:r w:rsidR="00B5169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 Personería Municipal  “Por medio del cual se dictan normas para la Constitución</w:t>
            </w:r>
            <w:r w:rsidR="00B5169F">
              <w:rPr>
                <w:rFonts w:ascii="Arial" w:hAnsi="Arial" w:cs="Arial"/>
                <w:color w:val="000000" w:themeColor="text1"/>
                <w:sz w:val="24"/>
                <w:szCs w:val="24"/>
              </w:rPr>
              <w:t>, 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anejo de la caja me</w:t>
            </w:r>
            <w:r w:rsidR="00B5169F">
              <w:rPr>
                <w:rFonts w:ascii="Arial" w:hAnsi="Arial" w:cs="Arial"/>
                <w:color w:val="000000" w:themeColor="text1"/>
                <w:sz w:val="24"/>
                <w:szCs w:val="24"/>
              </w:rPr>
              <w:t>nor para la vigencia fiscal 2023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”.</w:t>
            </w:r>
          </w:p>
          <w:p w:rsidR="007A7B8C" w:rsidRDefault="007A7B8C" w:rsidP="00910C4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Decreto 089 del 8 de febrero de 2018</w:t>
            </w:r>
          </w:p>
          <w:p w:rsidR="007A7B8C" w:rsidRDefault="007A7B8C" w:rsidP="00910C43">
            <w:pPr>
              <w:pStyle w:val="Prrafode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Ley 80 de 1993</w:t>
            </w:r>
          </w:p>
          <w:p w:rsidR="00671DEC" w:rsidRPr="00C42FBA" w:rsidRDefault="007A7B8C" w:rsidP="005B5A8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C43">
              <w:rPr>
                <w:rFonts w:ascii="Arial" w:hAnsi="Arial" w:cs="Arial"/>
                <w:sz w:val="24"/>
                <w:szCs w:val="24"/>
              </w:rPr>
              <w:t>Decreto Nacional 2768 del 28 de diciembre de 2012  del Ministerio de Hacienda y Crédito Público “Por el cual se regula la constitución y funcionamiento de cajas</w:t>
            </w:r>
            <w:r w:rsidR="00D57CE8" w:rsidRPr="00910C43">
              <w:rPr>
                <w:rFonts w:ascii="Arial" w:hAnsi="Arial" w:cs="Arial"/>
                <w:sz w:val="24"/>
                <w:szCs w:val="24"/>
              </w:rPr>
              <w:t xml:space="preserve"> menores”</w:t>
            </w:r>
          </w:p>
        </w:tc>
      </w:tr>
      <w:tr w:rsidR="002C04CF" w:rsidRPr="00C42FBA" w:rsidTr="00C76ECC">
        <w:tc>
          <w:tcPr>
            <w:tcW w:w="993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04CF" w:rsidRPr="002C04CF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2C04CF">
              <w:rPr>
                <w:rFonts w:ascii="Arial" w:hAnsi="Arial" w:cs="Arial"/>
                <w:b/>
                <w:sz w:val="24"/>
                <w:szCs w:val="24"/>
              </w:rPr>
              <w:lastRenderedPageBreak/>
              <w:t>RESUMEN DE LA AUDITORÍA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C04CF" w:rsidRPr="00C42FBA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B5169F" w:rsidRDefault="00B5169F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D57CE8" w:rsidRPr="00B5169F" w:rsidRDefault="00B5169F" w:rsidP="00D57CE8">
            <w:pPr>
              <w:spacing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val="es-CO" w:eastAsia="en-US"/>
              </w:rPr>
            </w:pPr>
            <w:r w:rsidRPr="00B5169F">
              <w:rPr>
                <w:rFonts w:ascii="Arial" w:eastAsiaTheme="minorHAnsi" w:hAnsi="Arial" w:cs="Arial"/>
                <w:b/>
                <w:sz w:val="24"/>
                <w:szCs w:val="24"/>
                <w:lang w:val="es-CO" w:eastAsia="en-US"/>
              </w:rPr>
              <w:t>ANÁ</w:t>
            </w:r>
            <w:r w:rsidR="00D57CE8" w:rsidRPr="00B5169F">
              <w:rPr>
                <w:rFonts w:ascii="Arial" w:eastAsiaTheme="minorHAnsi" w:hAnsi="Arial" w:cs="Arial"/>
                <w:b/>
                <w:sz w:val="24"/>
                <w:szCs w:val="24"/>
                <w:lang w:val="es-CO" w:eastAsia="en-US"/>
              </w:rPr>
              <w:t xml:space="preserve">LISIS DE RESULTADOS </w:t>
            </w:r>
          </w:p>
          <w:p w:rsidR="00C76ECC" w:rsidRDefault="00D57CE8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La 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Oficina de Control Interno de la Personería de Itagüí, realiza arqueo a la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caja menor 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de la entidad, la cual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fue reglamen</w:t>
            </w:r>
            <w:r w:rsidR="00B5169F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tada mediante Resolución No. 9 del 25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de </w:t>
            </w:r>
            <w:r w:rsidR="00B5169F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enero de 2023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, Dado la revisión de gastos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, 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los mismos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se encuentran soportados mediante Disponibilidad</w:t>
            </w:r>
            <w:r w:rsidR="00C76ECC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y registro presupuestal </w:t>
            </w:r>
            <w:r w:rsidR="003360A4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que se detalla en la siguiente tabla </w:t>
            </w:r>
            <w:r w:rsidR="00C76ECC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de la siguiente manera:</w:t>
            </w:r>
          </w:p>
          <w:p w:rsidR="00C76ECC" w:rsidRDefault="00C76ECC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4957"/>
              <w:gridCol w:w="4536"/>
            </w:tblGrid>
            <w:tr w:rsidR="00433598" w:rsidTr="00624B48">
              <w:trPr>
                <w:trHeight w:val="980"/>
              </w:trPr>
              <w:tc>
                <w:tcPr>
                  <w:tcW w:w="4957" w:type="dxa"/>
                  <w:shd w:val="clear" w:color="auto" w:fill="D6E3BC" w:themeFill="accent3" w:themeFillTint="66"/>
                </w:tcPr>
                <w:p w:rsidR="00576F0D" w:rsidRDefault="00576F0D" w:rsidP="00433598">
                  <w:pPr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</w:p>
                <w:p w:rsidR="00433598" w:rsidRPr="00C76ECC" w:rsidRDefault="00433598" w:rsidP="00433598">
                  <w:pPr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 w:rsidRPr="00C76ECC"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CERTIFICADO DISPONIBILIDAD PRESUPUESTAL (CDP)</w:t>
                  </w:r>
                </w:p>
              </w:tc>
              <w:tc>
                <w:tcPr>
                  <w:tcW w:w="4536" w:type="dxa"/>
                  <w:shd w:val="clear" w:color="auto" w:fill="D6E3BC" w:themeFill="accent3" w:themeFillTint="66"/>
                </w:tcPr>
                <w:p w:rsidR="00433598" w:rsidRDefault="00433598" w:rsidP="00433598">
                  <w:pPr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</w:p>
                <w:p w:rsidR="00433598" w:rsidRPr="00433598" w:rsidRDefault="00433598" w:rsidP="00433598">
                  <w:pPr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 w:rsidRPr="00433598"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CERTIFICADO REGISTRO PRESUPUESTAL</w:t>
                  </w:r>
                  <w:r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 xml:space="preserve"> (RP)</w:t>
                  </w:r>
                </w:p>
              </w:tc>
            </w:tr>
            <w:tr w:rsidR="00433598" w:rsidTr="00433598">
              <w:tc>
                <w:tcPr>
                  <w:tcW w:w="4957" w:type="dxa"/>
                </w:tcPr>
                <w:p w:rsidR="00433598" w:rsidRPr="00433598" w:rsidRDefault="00433598" w:rsidP="00433598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433598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342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 xml:space="preserve"> (01/02/2023)</w:t>
                  </w:r>
                </w:p>
              </w:tc>
              <w:tc>
                <w:tcPr>
                  <w:tcW w:w="4536" w:type="dxa"/>
                </w:tcPr>
                <w:p w:rsidR="00433598" w:rsidRDefault="00433598" w:rsidP="00433598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3629 (26/05/2023)</w:t>
                  </w:r>
                </w:p>
              </w:tc>
            </w:tr>
            <w:tr w:rsidR="00433598" w:rsidTr="00433598">
              <w:tc>
                <w:tcPr>
                  <w:tcW w:w="4957" w:type="dxa"/>
                </w:tcPr>
                <w:p w:rsidR="00433598" w:rsidRDefault="00433598" w:rsidP="00433598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1089 (</w:t>
                  </w:r>
                  <w:r w:rsidR="00624B48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01/06/2023)</w:t>
                  </w:r>
                </w:p>
              </w:tc>
              <w:tc>
                <w:tcPr>
                  <w:tcW w:w="4536" w:type="dxa"/>
                </w:tcPr>
                <w:p w:rsidR="00433598" w:rsidRDefault="00433598" w:rsidP="00433598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6085</w:t>
                  </w:r>
                  <w:r w:rsidR="00624B48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 xml:space="preserve"> (13/09/2023)</w:t>
                  </w:r>
                </w:p>
              </w:tc>
            </w:tr>
            <w:tr w:rsidR="00433598" w:rsidTr="00433598">
              <w:tc>
                <w:tcPr>
                  <w:tcW w:w="4957" w:type="dxa"/>
                </w:tcPr>
                <w:p w:rsidR="00433598" w:rsidRDefault="00624B48" w:rsidP="00624B48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1327 (2/10/2023)</w:t>
                  </w:r>
                </w:p>
              </w:tc>
              <w:tc>
                <w:tcPr>
                  <w:tcW w:w="4536" w:type="dxa"/>
                </w:tcPr>
                <w:p w:rsidR="00433598" w:rsidRDefault="00433598" w:rsidP="00D57CE8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</w:p>
              </w:tc>
            </w:tr>
          </w:tbl>
          <w:p w:rsidR="00624B48" w:rsidRDefault="00624B48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D57CE8" w:rsidRDefault="00624B48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Una vez realizado el análisis de gastos ejecutados </w:t>
            </w:r>
            <w:r w:rsidR="00D57CE8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del fondo fijo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de caja menor y habiendo cotejado la relación entre </w:t>
            </w:r>
            <w:r w:rsidR="00D57CE8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facturas y registros entregados por la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funcionaria</w:t>
            </w:r>
            <w:r w:rsidR="00D57CE8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KATHERINE LOPEZ ROLDAN, 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de la vigencia 202</w:t>
            </w:r>
            <w:r w:rsidR="00576F0D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3 con corte al 30 de septiembre</w:t>
            </w:r>
            <w:r w:rsidR="0058562A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, se pudo observar en </w:t>
            </w:r>
            <w:r w:rsidR="00D57CE8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el cumplimiento de las disposiciones establecidas en el reglamento.</w:t>
            </w:r>
          </w:p>
          <w:p w:rsidR="003360A4" w:rsidRDefault="003360A4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D57CE8" w:rsidRDefault="00D57CE8" w:rsidP="00D57CE8">
            <w:pPr>
              <w:spacing w:line="360" w:lineRule="auto"/>
              <w:jc w:val="both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La Resolución</w:t>
            </w:r>
            <w:r w:rsidR="00576F0D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9-2023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 xml:space="preserve"> establece la constit</w:t>
            </w:r>
            <w:r w:rsidR="00C77B3B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 xml:space="preserve">ución de la caja menor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 xml:space="preserve">por valor de </w:t>
            </w:r>
            <w:r w:rsidR="00576F0D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>TRES MILLONES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 xml:space="preserve"> PESOS, afectando los siguientes rubros.</w:t>
            </w:r>
          </w:p>
          <w:p w:rsidR="00576F0D" w:rsidRDefault="00576F0D" w:rsidP="00D57CE8">
            <w:pPr>
              <w:spacing w:line="360" w:lineRule="auto"/>
              <w:jc w:val="both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</w:pPr>
          </w:p>
          <w:p w:rsidR="00C77B3B" w:rsidRDefault="00C77B3B" w:rsidP="00D57CE8">
            <w:pPr>
              <w:spacing w:line="360" w:lineRule="auto"/>
              <w:jc w:val="both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72"/>
              <w:gridCol w:w="3119"/>
              <w:gridCol w:w="1631"/>
              <w:gridCol w:w="1697"/>
            </w:tblGrid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B5404C" w:rsidRPr="00C77B3B" w:rsidRDefault="00B5404C" w:rsidP="00C76EC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CÓDIGO PRESUPUESTAL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B5404C" w:rsidRDefault="00B5404C" w:rsidP="00C76EC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DENOMINACIÓN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B5404C" w:rsidRDefault="00B5404C" w:rsidP="00C76EC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VALOR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:rsidR="00B5404C" w:rsidRDefault="00FB3FAD" w:rsidP="00C76EC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es-CO" w:eastAsia="en-US"/>
                    </w:rPr>
                    <w:t>VALOR EJECUTADO</w:t>
                  </w:r>
                </w:p>
              </w:tc>
            </w:tr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 w:rsidP="00576F0D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16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.2.1.2.02.01.002.01-01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Materiales y suministros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>
                  <w:pPr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1.000.000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Pr="00FB3FAD" w:rsidRDefault="00B5404C" w:rsidP="00B5404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MX" w:eastAsia="en-US"/>
                    </w:rPr>
                  </w:pPr>
                  <w:r w:rsidRPr="00B5404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$ 951.143,00</w:t>
                  </w:r>
                </w:p>
                <w:p w:rsidR="00B5404C" w:rsidRPr="00B5404C" w:rsidRDefault="00B5404C">
                  <w:pPr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</w:p>
              </w:tc>
            </w:tr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 w:rsidP="00576F0D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16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.2.1.2.02.02.008.02-01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 xml:space="preserve">Mantenimiento 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1200.000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Pr="00FB3FAD" w:rsidRDefault="00B5404C" w:rsidP="00B5404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MX" w:eastAsia="en-US"/>
                    </w:rPr>
                  </w:pPr>
                  <w:r w:rsidRPr="00B5404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$ 1.103.299,00</w:t>
                  </w:r>
                </w:p>
                <w:p w:rsidR="00B5404C" w:rsidRPr="00B5404C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</w:p>
              </w:tc>
            </w:tr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 w:rsidP="00576F0D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16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.2.1.2.02.02.006.01-01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Comunicación y transporte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350.000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Pr="00FB3FAD" w:rsidRDefault="00B5404C" w:rsidP="00B5404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MX" w:eastAsia="en-US"/>
                    </w:rPr>
                  </w:pPr>
                  <w:r w:rsidRPr="00B5404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$ 161.800,00</w:t>
                  </w:r>
                </w:p>
                <w:p w:rsidR="00B5404C" w:rsidRPr="00B5404C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</w:p>
              </w:tc>
            </w:tr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 w:rsidP="00576F0D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16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.2.1.2.02.02.006.02-01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Atención y Representación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04C" w:rsidRPr="00C77B3B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450.000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Pr="00FB3FAD" w:rsidRDefault="00B5404C" w:rsidP="00B540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s-MX" w:eastAsia="en-US"/>
                    </w:rPr>
                  </w:pPr>
                  <w:r w:rsidRPr="00B5404C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345.900,00</w:t>
                  </w:r>
                </w:p>
                <w:p w:rsidR="00B5404C" w:rsidRPr="00C77B3B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</w:p>
              </w:tc>
            </w:tr>
            <w:tr w:rsidR="00B5404C" w:rsidTr="00B5404C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highlight w:val="yellow"/>
                      <w:lang w:val="es-CO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Default="00B5404C">
                  <w:pPr>
                    <w:spacing w:line="360" w:lineRule="auto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TOTAL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404C" w:rsidRDefault="00B5404C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highlight w:val="yellow"/>
                      <w:lang w:val="es-CO" w:eastAsia="en-US"/>
                    </w:rPr>
                  </w:pPr>
                  <w:r w:rsidRPr="00C77B3B"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3´000.000,00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04C" w:rsidRPr="00C77B3B" w:rsidRDefault="00FB3FAD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val="es-CO" w:eastAsia="en-US"/>
                    </w:rPr>
                    <w:t>2´562.142</w:t>
                  </w:r>
                </w:p>
              </w:tc>
            </w:tr>
          </w:tbl>
          <w:p w:rsidR="009C1827" w:rsidRDefault="003360A4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360A4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CO" w:eastAsia="en-US"/>
              </w:rPr>
              <w:t xml:space="preserve">Fuente: </w:t>
            </w:r>
            <w:r w:rsidRPr="003360A4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Resolución 9-2023</w:t>
            </w:r>
          </w:p>
          <w:p w:rsidR="003360A4" w:rsidRPr="003360A4" w:rsidRDefault="003360A4" w:rsidP="00D57CE8">
            <w:pPr>
              <w:spacing w:line="360" w:lineRule="auto"/>
              <w:jc w:val="both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CO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Elaboro: Yudy Alejandra López Londoño- Abogada Contratista</w:t>
            </w:r>
          </w:p>
          <w:p w:rsidR="003360A4" w:rsidRDefault="003360A4" w:rsidP="00FB3FAD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</w:pPr>
          </w:p>
          <w:p w:rsidR="00B5404C" w:rsidRDefault="00FB3FAD" w:rsidP="00FB3FAD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>Total, e</w:t>
            </w:r>
            <w:r w:rsidR="00B5404C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 xml:space="preserve">jecutado: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CO" w:eastAsia="en-US"/>
              </w:rPr>
              <w:t>$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2´562.142</w:t>
            </w:r>
          </w:p>
          <w:p w:rsidR="003360A4" w:rsidRDefault="003360A4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FB3FAD" w:rsidRDefault="00FB3FAD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De acuerdo con el cuadro anterior</w:t>
            </w:r>
            <w:r w:rsidR="002439F1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 xml:space="preserve"> dado la revisión en campo</w:t>
            </w: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, se presenta mayor ejecución en el rubro de mantenim</w:t>
            </w:r>
            <w:r w:rsidR="002439F1"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iento, seguido del ítem de materiales y suministros, continuando con gastos de atención y representación y por último comunicación y transporte.</w:t>
            </w:r>
          </w:p>
          <w:p w:rsidR="002439F1" w:rsidRDefault="002439F1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2439F1" w:rsidRDefault="002439F1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  <w:t>La anterior destinación se encuentra enmarcada en lo establecido en la resolución 9 del 25 de enero de 2023, la cual enuncia los gastos permitidos así:</w:t>
            </w:r>
          </w:p>
          <w:p w:rsidR="003360A4" w:rsidRDefault="003360A4" w:rsidP="00D57CE8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s-CO" w:eastAsia="en-US"/>
              </w:rPr>
            </w:pPr>
          </w:p>
          <w:p w:rsidR="00A93988" w:rsidRPr="00A93988" w:rsidRDefault="00A93988" w:rsidP="00A93988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3988">
              <w:rPr>
                <w:rFonts w:ascii="Arial" w:hAnsi="Arial" w:cs="Arial"/>
                <w:color w:val="000000" w:themeColor="text1"/>
                <w:sz w:val="24"/>
                <w:szCs w:val="24"/>
              </w:rPr>
              <w:t>Fotocopias blanco y negro y a color siempre y cuando no se tenga disponible el servicio en la Entidad, o se encuentre distante a ella.</w:t>
            </w:r>
          </w:p>
          <w:p w:rsidR="00A93988" w:rsidRPr="00A93988" w:rsidRDefault="00A93988" w:rsidP="00A93988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39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Elementos menores devolutivos y no devolutivos siempre y cuando no haya </w:t>
            </w:r>
            <w:r w:rsidRPr="00A9398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existencia en el almacén, por lo general son insumos y suministros requeridos para el desempeño de las actividades administrativas, como útiles y papelería para el escritorio, implementos para el computador, material didáctico, artículos de aseo y cafetería.</w:t>
            </w:r>
            <w:bookmarkStart w:id="0" w:name="_GoBack"/>
            <w:bookmarkEnd w:id="0"/>
          </w:p>
          <w:p w:rsidR="002439F1" w:rsidRPr="00780131" w:rsidRDefault="002439F1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Pasajes, taxis, parqueaderos y peajes</w:t>
            </w:r>
          </w:p>
          <w:p w:rsidR="002439F1" w:rsidRPr="00780131" w:rsidRDefault="002439F1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 xml:space="preserve">Portes y correos </w:t>
            </w:r>
          </w:p>
          <w:p w:rsidR="002439F1" w:rsidRPr="00780131" w:rsidRDefault="002439F1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Revisión técnico mecánica vehicular</w:t>
            </w:r>
          </w:p>
          <w:p w:rsidR="002439F1" w:rsidRPr="00780131" w:rsidRDefault="002439F1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 xml:space="preserve">Impresiones a color y con especificaciones por su tamaño y presentación </w:t>
            </w:r>
          </w:p>
          <w:p w:rsidR="002439F1" w:rsidRPr="00780131" w:rsidRDefault="002439F1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Parcheo o montaje de llantas de vehículos o motocicleta.</w:t>
            </w:r>
          </w:p>
          <w:p w:rsidR="00551E80" w:rsidRPr="00780131" w:rsidRDefault="00551E80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Reparaciones y repuestos de menor cuantía</w:t>
            </w:r>
          </w:p>
          <w:p w:rsidR="00551E80" w:rsidRPr="00780131" w:rsidRDefault="00551E80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Insumos y artículos de menor cuantía, no incluidos en el inventario del almacén para el funcionamiento de la Entidad.</w:t>
            </w:r>
          </w:p>
          <w:p w:rsidR="00551E80" w:rsidRPr="00780131" w:rsidRDefault="00551E80" w:rsidP="00780131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131">
              <w:rPr>
                <w:rFonts w:ascii="Arial" w:hAnsi="Arial" w:cs="Arial"/>
                <w:sz w:val="24"/>
                <w:szCs w:val="24"/>
              </w:rPr>
              <w:t>Gastos de alimentación (refrigerios, almuerzos, desayunos), para los asistentes a capacitaciones, eventos y reuniones de trabajo convocados exclusivamente por el Personero Municipal.</w:t>
            </w:r>
          </w:p>
          <w:p w:rsidR="002C04CF" w:rsidRPr="002C04CF" w:rsidRDefault="002C04CF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C42FBA" w:rsidTr="007A7B8C">
        <w:tc>
          <w:tcPr>
            <w:tcW w:w="9932" w:type="dxa"/>
            <w:gridSpan w:val="4"/>
            <w:shd w:val="clear" w:color="auto" w:fill="D9D9D9"/>
          </w:tcPr>
          <w:p w:rsidR="002C04CF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HALLAZGOS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437B2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  <w:vAlign w:val="center"/>
          </w:tcPr>
          <w:p w:rsidR="00BB6908" w:rsidRPr="00437B2E" w:rsidRDefault="00551E80" w:rsidP="00551E8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Excelente</w:t>
            </w:r>
            <w:r w:rsidR="003360A4">
              <w:rPr>
                <w:rFonts w:ascii="Arial" w:hAnsi="Arial" w:cs="Arial"/>
                <w:sz w:val="24"/>
                <w:szCs w:val="24"/>
                <w:lang w:val="es-CO"/>
              </w:rPr>
              <w:t xml:space="preserve"> disposición y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colaboración del equipo auditado con la Jefe de Oficina de Control Interno al momento de requerir información 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286D12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437B2E" w:rsidRDefault="00551E80" w:rsidP="00437B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Procedimiento bien soportado con evidencias, de acuerdo con los formatos </w:t>
            </w:r>
            <w:r w:rsidR="00CC4B11">
              <w:rPr>
                <w:rFonts w:ascii="Arial" w:hAnsi="Arial" w:cs="Arial"/>
                <w:sz w:val="24"/>
                <w:szCs w:val="24"/>
                <w:lang w:val="es-CO"/>
              </w:rPr>
              <w:t>FBS 33,34,35 Y 37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FA3F44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F056A2" w:rsidRDefault="00BB6908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CC4B11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CC4B11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CC4B11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BFBFBF"/>
          </w:tcPr>
          <w:p w:rsidR="00BB6908" w:rsidRPr="00C42FBA" w:rsidRDefault="00BB690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>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BB6908" w:rsidRPr="00C42FBA" w:rsidRDefault="002C04CF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FA3F44" w:rsidRDefault="00BB6908" w:rsidP="00671DE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BFBFBF"/>
          </w:tcPr>
          <w:p w:rsidR="00BB6908" w:rsidRPr="00C42FBA" w:rsidRDefault="00AA0BF4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CONCLUSIONES 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/RECOMENDACIONES 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 LA AUDITORÍ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auto"/>
          </w:tcPr>
          <w:p w:rsidR="00780131" w:rsidRDefault="00780131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Se sugiere que para próximas vigencias se tenga en cuenta algunas precisiones</w:t>
            </w:r>
            <w:r w:rsidR="003360A4">
              <w:rPr>
                <w:rFonts w:ascii="Arial" w:hAnsi="Arial" w:cs="Arial"/>
                <w:sz w:val="24"/>
                <w:szCs w:val="24"/>
                <w:lang w:val="es-CO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En cuanto a la destinación de los dineros “portes y correos, revisión técnico mecánica vehicular, impresiones a color y con especificacion</w:t>
            </w:r>
            <w:r w:rsidR="003360A4">
              <w:rPr>
                <w:rFonts w:ascii="Arial" w:hAnsi="Arial" w:cs="Arial"/>
                <w:sz w:val="24"/>
                <w:szCs w:val="24"/>
                <w:lang w:val="es-CO"/>
              </w:rPr>
              <w:t xml:space="preserve">es por su tamaño y </w:t>
            </w:r>
            <w:r w:rsidR="007D30B8">
              <w:rPr>
                <w:rFonts w:ascii="Arial" w:hAnsi="Arial" w:cs="Arial"/>
                <w:sz w:val="24"/>
                <w:szCs w:val="24"/>
                <w:lang w:val="es-CO"/>
              </w:rPr>
              <w:t>presentación, parche</w:t>
            </w:r>
            <w:r w:rsidR="003360A4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o montaje de llanta de vehículo o motocicleta”, se sugiere adicionar a cada uno de ellos “siempre y cuando no haya disponibilidad del servicio en la Entidad, a través de un contrato”</w:t>
            </w:r>
          </w:p>
          <w:p w:rsidR="00780131" w:rsidRDefault="00780131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E5E7D" w:rsidRDefault="00780131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Frente al rub</w:t>
            </w:r>
            <w:r w:rsidR="00105772">
              <w:rPr>
                <w:rFonts w:ascii="Arial" w:hAnsi="Arial" w:cs="Arial"/>
                <w:sz w:val="24"/>
                <w:szCs w:val="24"/>
                <w:lang w:val="es-CO"/>
              </w:rPr>
              <w:t>ro de atención y representación pagado por caja menor, es preciso aclarar que en tanto el servicio se requiera de manera inmediata y con quien se tenga la relación contractual para suplir el mismo, no pueda prestarlo de manera inmediata.</w:t>
            </w:r>
          </w:p>
          <w:p w:rsidR="007E5E7D" w:rsidRDefault="007E5E7D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CB6B5F" w:rsidRDefault="00CB6B5F" w:rsidP="00671DEC">
      <w:pPr>
        <w:ind w:left="720"/>
        <w:rPr>
          <w:rFonts w:ascii="Arial" w:hAnsi="Arial" w:cs="Arial"/>
          <w:b/>
          <w:sz w:val="24"/>
          <w:szCs w:val="24"/>
          <w:lang w:val="es-CO"/>
        </w:rPr>
      </w:pPr>
    </w:p>
    <w:p w:rsidR="006F204F" w:rsidRPr="002A1B36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76078">
        <w:rPr>
          <w:rFonts w:ascii="Arial" w:hAnsi="Arial" w:cs="Arial"/>
          <w:b/>
          <w:sz w:val="24"/>
          <w:szCs w:val="24"/>
          <w:lang w:val="es-CO"/>
        </w:rPr>
        <w:t xml:space="preserve">Arley de Jesús Ramírez Patiño </w:t>
      </w:r>
      <w:r w:rsidR="002A1B36" w:rsidRPr="006B07AF">
        <w:rPr>
          <w:noProof/>
        </w:rPr>
        <w:drawing>
          <wp:inline distT="0" distB="0" distL="0" distR="0">
            <wp:extent cx="1161156" cy="409575"/>
            <wp:effectExtent l="0" t="0" r="0" b="0"/>
            <wp:docPr id="1" name="Imagen 1" descr="C:\Users\ajramirez\Downloads\firma pap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ramirez\Downloads\firma pap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28" cy="4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>
        <w:rPr>
          <w:rFonts w:ascii="Arial" w:hAnsi="Arial" w:cs="Arial"/>
          <w:b/>
          <w:sz w:val="24"/>
          <w:szCs w:val="24"/>
          <w:lang w:val="es-CO"/>
        </w:rPr>
        <w:t>:</w:t>
      </w:r>
      <w:r w:rsidR="002A1B36">
        <w:rPr>
          <w:rFonts w:ascii="Arial" w:hAnsi="Arial" w:cs="Arial"/>
          <w:b/>
          <w:sz w:val="24"/>
          <w:szCs w:val="24"/>
          <w:lang w:val="es-CO"/>
        </w:rPr>
        <w:t xml:space="preserve"> Katherine López Roldán </w:t>
      </w:r>
    </w:p>
    <w:p w:rsidR="002A1B36" w:rsidRDefault="002A1B36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2A1B36">
        <w:rPr>
          <w:rFonts w:ascii="Arial" w:hAnsi="Arial" w:cs="Arial"/>
          <w:b/>
          <w:sz w:val="24"/>
          <w:szCs w:val="24"/>
          <w:lang w:val="es-CO"/>
        </w:rPr>
        <w:t>30 de septiembre 2023</w:t>
      </w:r>
    </w:p>
    <w:sectPr w:rsidR="00FE3D69" w:rsidRPr="009A3786" w:rsidSect="002C0AE3">
      <w:headerReference w:type="default" r:id="rId8"/>
      <w:footerReference w:type="default" r:id="rId9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A4" w:rsidRDefault="003360A4">
      <w:r>
        <w:separator/>
      </w:r>
    </w:p>
  </w:endnote>
  <w:endnote w:type="continuationSeparator" w:id="0">
    <w:p w:rsidR="003360A4" w:rsidRDefault="00336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360A4" w:rsidRPr="00E25F48" w:rsidTr="007A7B8C">
      <w:tc>
        <w:tcPr>
          <w:tcW w:w="5796" w:type="dxa"/>
          <w:shd w:val="clear" w:color="auto" w:fill="auto"/>
        </w:tcPr>
        <w:p w:rsidR="003360A4" w:rsidRPr="00E25F48" w:rsidRDefault="003360A4" w:rsidP="007A7B8C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360A4" w:rsidRPr="00E25F48" w:rsidRDefault="003360A4" w:rsidP="007A7B8C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60A4" w:rsidRDefault="003360A4" w:rsidP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A4" w:rsidRDefault="003360A4">
      <w:r>
        <w:separator/>
      </w:r>
    </w:p>
  </w:footnote>
  <w:footnote w:type="continuationSeparator" w:id="0">
    <w:p w:rsidR="003360A4" w:rsidRDefault="00336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0A4" w:rsidRDefault="003360A4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3360A4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3360A4" w:rsidRPr="008270E8" w:rsidRDefault="003360A4" w:rsidP="007A7B8C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360A4" w:rsidRPr="008270E8" w:rsidRDefault="003360A4" w:rsidP="007A7B8C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3360A4" w:rsidRDefault="003360A4" w:rsidP="007A7B8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360A4" w:rsidRPr="009C4E7E" w:rsidRDefault="003360A4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3360A4" w:rsidRPr="009C4E7E" w:rsidRDefault="003360A4" w:rsidP="007A7B8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360A4" w:rsidRPr="008270E8" w:rsidRDefault="003360A4" w:rsidP="00F534D4">
          <w:pPr>
            <w:jc w:val="center"/>
          </w:pPr>
        </w:p>
      </w:tc>
      <w:tc>
        <w:tcPr>
          <w:tcW w:w="2545" w:type="dxa"/>
          <w:vAlign w:val="center"/>
        </w:tcPr>
        <w:p w:rsidR="003360A4" w:rsidRPr="008270E8" w:rsidRDefault="003360A4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FEM-09</w:t>
          </w:r>
        </w:p>
      </w:tc>
    </w:tr>
    <w:tr w:rsidR="003360A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3360A4" w:rsidRPr="008270E8" w:rsidRDefault="003360A4" w:rsidP="007A7B8C">
          <w:pPr>
            <w:jc w:val="center"/>
          </w:pPr>
        </w:p>
      </w:tc>
      <w:tc>
        <w:tcPr>
          <w:tcW w:w="4820" w:type="dxa"/>
          <w:vMerge/>
          <w:vAlign w:val="center"/>
        </w:tcPr>
        <w:p w:rsidR="003360A4" w:rsidRDefault="003360A4" w:rsidP="007A7B8C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3360A4" w:rsidRPr="008270E8" w:rsidRDefault="003360A4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3360A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3360A4" w:rsidRPr="008270E8" w:rsidRDefault="003360A4" w:rsidP="007A7B8C">
          <w:pPr>
            <w:jc w:val="center"/>
          </w:pPr>
        </w:p>
      </w:tc>
      <w:tc>
        <w:tcPr>
          <w:tcW w:w="4820" w:type="dxa"/>
          <w:vMerge/>
          <w:vAlign w:val="center"/>
        </w:tcPr>
        <w:p w:rsidR="003360A4" w:rsidRDefault="003360A4" w:rsidP="007A7B8C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3360A4" w:rsidRPr="008270E8" w:rsidRDefault="003360A4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echa: 24/02/2022</w:t>
          </w:r>
        </w:p>
      </w:tc>
    </w:tr>
  </w:tbl>
  <w:p w:rsidR="003360A4" w:rsidRDefault="003360A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26DDD"/>
    <w:multiLevelType w:val="hybridMultilevel"/>
    <w:tmpl w:val="20085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D1CFC"/>
    <w:multiLevelType w:val="hybridMultilevel"/>
    <w:tmpl w:val="380EE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721D9"/>
    <w:multiLevelType w:val="hybridMultilevel"/>
    <w:tmpl w:val="7562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A4910"/>
    <w:multiLevelType w:val="hybridMultilevel"/>
    <w:tmpl w:val="9F2A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9966FF"/>
    <w:multiLevelType w:val="hybridMultilevel"/>
    <w:tmpl w:val="D304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1433F"/>
    <w:rsid w:val="00020DE7"/>
    <w:rsid w:val="00025CEC"/>
    <w:rsid w:val="0002601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A3AFE"/>
    <w:rsid w:val="000A410C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5772"/>
    <w:rsid w:val="00107440"/>
    <w:rsid w:val="0011334E"/>
    <w:rsid w:val="00114768"/>
    <w:rsid w:val="00114ACC"/>
    <w:rsid w:val="00140656"/>
    <w:rsid w:val="00143898"/>
    <w:rsid w:val="001456BA"/>
    <w:rsid w:val="0015198E"/>
    <w:rsid w:val="0016514D"/>
    <w:rsid w:val="00170630"/>
    <w:rsid w:val="0017069F"/>
    <w:rsid w:val="001742D7"/>
    <w:rsid w:val="00175B85"/>
    <w:rsid w:val="00196ACA"/>
    <w:rsid w:val="001A10FA"/>
    <w:rsid w:val="001A4F97"/>
    <w:rsid w:val="001B23EB"/>
    <w:rsid w:val="001B3776"/>
    <w:rsid w:val="001C34D0"/>
    <w:rsid w:val="001F0255"/>
    <w:rsid w:val="002014D1"/>
    <w:rsid w:val="002016E5"/>
    <w:rsid w:val="00217908"/>
    <w:rsid w:val="0022019F"/>
    <w:rsid w:val="002237AD"/>
    <w:rsid w:val="0022634E"/>
    <w:rsid w:val="00226925"/>
    <w:rsid w:val="00233BAC"/>
    <w:rsid w:val="002409EA"/>
    <w:rsid w:val="00242C88"/>
    <w:rsid w:val="00243506"/>
    <w:rsid w:val="002439F1"/>
    <w:rsid w:val="00246040"/>
    <w:rsid w:val="0025597D"/>
    <w:rsid w:val="002741FD"/>
    <w:rsid w:val="002758B0"/>
    <w:rsid w:val="00280F57"/>
    <w:rsid w:val="0028536C"/>
    <w:rsid w:val="00286D12"/>
    <w:rsid w:val="0029473B"/>
    <w:rsid w:val="002A1B36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0A4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1715E"/>
    <w:rsid w:val="00433598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335D7"/>
    <w:rsid w:val="00540725"/>
    <w:rsid w:val="0054744A"/>
    <w:rsid w:val="00551E80"/>
    <w:rsid w:val="00553F2D"/>
    <w:rsid w:val="00561402"/>
    <w:rsid w:val="0057291C"/>
    <w:rsid w:val="00576F0D"/>
    <w:rsid w:val="0058087E"/>
    <w:rsid w:val="00580891"/>
    <w:rsid w:val="00580DEA"/>
    <w:rsid w:val="005810F8"/>
    <w:rsid w:val="0058562A"/>
    <w:rsid w:val="005B4FA3"/>
    <w:rsid w:val="005B5A80"/>
    <w:rsid w:val="005B6833"/>
    <w:rsid w:val="005B7F1F"/>
    <w:rsid w:val="005C3C0B"/>
    <w:rsid w:val="005D2805"/>
    <w:rsid w:val="005E59F5"/>
    <w:rsid w:val="005F43A9"/>
    <w:rsid w:val="005F4620"/>
    <w:rsid w:val="00605E3C"/>
    <w:rsid w:val="0061236E"/>
    <w:rsid w:val="00617525"/>
    <w:rsid w:val="00624B48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A6898"/>
    <w:rsid w:val="006B1554"/>
    <w:rsid w:val="006C2285"/>
    <w:rsid w:val="006C3F75"/>
    <w:rsid w:val="006D2CD1"/>
    <w:rsid w:val="006D7A99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66870"/>
    <w:rsid w:val="00776456"/>
    <w:rsid w:val="00780131"/>
    <w:rsid w:val="0078254C"/>
    <w:rsid w:val="007A79C9"/>
    <w:rsid w:val="007A7B8C"/>
    <w:rsid w:val="007B6EA9"/>
    <w:rsid w:val="007B6EFE"/>
    <w:rsid w:val="007C177F"/>
    <w:rsid w:val="007D1B81"/>
    <w:rsid w:val="007D30B8"/>
    <w:rsid w:val="007D728D"/>
    <w:rsid w:val="007E5E7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3572"/>
    <w:rsid w:val="00863A77"/>
    <w:rsid w:val="008C2DEE"/>
    <w:rsid w:val="008E7AE1"/>
    <w:rsid w:val="008F70ED"/>
    <w:rsid w:val="00910C43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76078"/>
    <w:rsid w:val="0099139D"/>
    <w:rsid w:val="0099605B"/>
    <w:rsid w:val="0099754A"/>
    <w:rsid w:val="009A13F8"/>
    <w:rsid w:val="009A3786"/>
    <w:rsid w:val="009C1827"/>
    <w:rsid w:val="009C1831"/>
    <w:rsid w:val="009D2091"/>
    <w:rsid w:val="009D270A"/>
    <w:rsid w:val="009F1A48"/>
    <w:rsid w:val="009F1BBD"/>
    <w:rsid w:val="00A0198B"/>
    <w:rsid w:val="00A0415D"/>
    <w:rsid w:val="00A0497F"/>
    <w:rsid w:val="00A10426"/>
    <w:rsid w:val="00A22426"/>
    <w:rsid w:val="00A23C49"/>
    <w:rsid w:val="00A46D78"/>
    <w:rsid w:val="00A50288"/>
    <w:rsid w:val="00A608C8"/>
    <w:rsid w:val="00A63700"/>
    <w:rsid w:val="00A73DFE"/>
    <w:rsid w:val="00A826F9"/>
    <w:rsid w:val="00A830EB"/>
    <w:rsid w:val="00A83F4B"/>
    <w:rsid w:val="00A84B8A"/>
    <w:rsid w:val="00A85CCE"/>
    <w:rsid w:val="00A93988"/>
    <w:rsid w:val="00AA0BF4"/>
    <w:rsid w:val="00AD5B0F"/>
    <w:rsid w:val="00AE39C0"/>
    <w:rsid w:val="00AF7531"/>
    <w:rsid w:val="00B01531"/>
    <w:rsid w:val="00B16008"/>
    <w:rsid w:val="00B16C4E"/>
    <w:rsid w:val="00B16C7A"/>
    <w:rsid w:val="00B20A45"/>
    <w:rsid w:val="00B23A77"/>
    <w:rsid w:val="00B33081"/>
    <w:rsid w:val="00B357AC"/>
    <w:rsid w:val="00B41E0D"/>
    <w:rsid w:val="00B47DB7"/>
    <w:rsid w:val="00B5169F"/>
    <w:rsid w:val="00B5404C"/>
    <w:rsid w:val="00B5418F"/>
    <w:rsid w:val="00B62676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62646"/>
    <w:rsid w:val="00C71610"/>
    <w:rsid w:val="00C72E74"/>
    <w:rsid w:val="00C76ECC"/>
    <w:rsid w:val="00C77B3B"/>
    <w:rsid w:val="00C822EA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4B11"/>
    <w:rsid w:val="00CC5718"/>
    <w:rsid w:val="00CC571A"/>
    <w:rsid w:val="00CC6FBA"/>
    <w:rsid w:val="00CD2603"/>
    <w:rsid w:val="00CD610B"/>
    <w:rsid w:val="00CE598F"/>
    <w:rsid w:val="00CE6AD4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04D1"/>
    <w:rsid w:val="00D3354C"/>
    <w:rsid w:val="00D34115"/>
    <w:rsid w:val="00D36973"/>
    <w:rsid w:val="00D37A0F"/>
    <w:rsid w:val="00D44765"/>
    <w:rsid w:val="00D57CE8"/>
    <w:rsid w:val="00D71680"/>
    <w:rsid w:val="00D808E1"/>
    <w:rsid w:val="00D901C3"/>
    <w:rsid w:val="00D92D90"/>
    <w:rsid w:val="00DA0AB8"/>
    <w:rsid w:val="00DA530E"/>
    <w:rsid w:val="00DB3798"/>
    <w:rsid w:val="00DC150C"/>
    <w:rsid w:val="00DC1AAA"/>
    <w:rsid w:val="00DD5147"/>
    <w:rsid w:val="00DE003F"/>
    <w:rsid w:val="00DE33A0"/>
    <w:rsid w:val="00DF70A0"/>
    <w:rsid w:val="00DF7C5C"/>
    <w:rsid w:val="00E16085"/>
    <w:rsid w:val="00E23E16"/>
    <w:rsid w:val="00E27A8A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8331B"/>
    <w:rsid w:val="00F843E3"/>
    <w:rsid w:val="00F848E8"/>
    <w:rsid w:val="00F86784"/>
    <w:rsid w:val="00F953F4"/>
    <w:rsid w:val="00F95F9D"/>
    <w:rsid w:val="00FA3F44"/>
    <w:rsid w:val="00FA5406"/>
    <w:rsid w:val="00FB2CE2"/>
    <w:rsid w:val="00FB3FAD"/>
    <w:rsid w:val="00FB7165"/>
    <w:rsid w:val="00FE3D69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  <w:style w:type="paragraph" w:styleId="Prrafodelista">
    <w:name w:val="List Paragraph"/>
    <w:basedOn w:val="Normal"/>
    <w:uiPriority w:val="34"/>
    <w:qFormat/>
    <w:rsid w:val="007A7B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928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5</cp:revision>
  <cp:lastPrinted>2023-10-11T15:29:00Z</cp:lastPrinted>
  <dcterms:created xsi:type="dcterms:W3CDTF">2023-10-11T14:54:00Z</dcterms:created>
  <dcterms:modified xsi:type="dcterms:W3CDTF">2023-10-11T15:35:00Z</dcterms:modified>
</cp:coreProperties>
</file>