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3C385D" w:rsidP="00863572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937"/>
      </w:tblGrid>
      <w:tr w:rsidR="00101355" w:rsidRPr="00101355" w:rsidTr="00AA0BF4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4937" w:type="dxa"/>
          </w:tcPr>
          <w:p w:rsidR="003C385D" w:rsidRPr="00101355" w:rsidRDefault="00D34F0B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PENALES Y D</w:t>
            </w:r>
            <w:r w:rsidR="0031598F"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FAMILIA</w:t>
            </w: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6"/>
      </w:tblGrid>
      <w:tr w:rsidR="00671DEC" w:rsidRPr="00C42FBA" w:rsidTr="00D32833">
        <w:tc>
          <w:tcPr>
            <w:tcW w:w="5070" w:type="dxa"/>
            <w:shd w:val="clear" w:color="auto" w:fill="D9D9D9"/>
          </w:tcPr>
          <w:p w:rsidR="00671DEC" w:rsidRPr="00C42FBA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4786" w:type="dxa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AUDITORIA</w:t>
            </w:r>
          </w:p>
        </w:tc>
      </w:tr>
      <w:tr w:rsidR="00671DEC" w:rsidRPr="00C42FBA" w:rsidTr="00D32833">
        <w:tc>
          <w:tcPr>
            <w:tcW w:w="5070" w:type="dxa"/>
            <w:shd w:val="clear" w:color="auto" w:fill="auto"/>
          </w:tcPr>
          <w:p w:rsidR="00671DEC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32833">
              <w:rPr>
                <w:rFonts w:ascii="Arial" w:hAnsi="Arial" w:cs="Arial"/>
                <w:sz w:val="24"/>
                <w:szCs w:val="24"/>
                <w:lang w:val="es-CO"/>
              </w:rPr>
              <w:t>PPF- 01 Intervención y Asistencia en los Procesos Penales</w:t>
            </w:r>
          </w:p>
          <w:p w:rsidR="00D32833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32833">
              <w:rPr>
                <w:rFonts w:ascii="Arial" w:hAnsi="Arial" w:cs="Arial"/>
                <w:sz w:val="24"/>
                <w:szCs w:val="24"/>
                <w:lang w:val="es-CO"/>
              </w:rPr>
              <w:t>PPF- 03 Intervención y asistencia en los procesos de familia.</w:t>
            </w:r>
          </w:p>
          <w:p w:rsidR="00D32833" w:rsidRPr="00C42FBA" w:rsidRDefault="00D3283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32833">
              <w:rPr>
                <w:rFonts w:ascii="Arial" w:hAnsi="Arial" w:cs="Arial"/>
                <w:sz w:val="24"/>
                <w:szCs w:val="24"/>
                <w:lang w:val="es-CO"/>
              </w:rPr>
              <w:t>PPF-04  Ley de Apoyo.</w:t>
            </w:r>
          </w:p>
        </w:tc>
        <w:tc>
          <w:tcPr>
            <w:tcW w:w="4786" w:type="dxa"/>
            <w:shd w:val="clear" w:color="auto" w:fill="auto"/>
          </w:tcPr>
          <w:p w:rsidR="00671DEC" w:rsidRPr="00C42FBA" w:rsidRDefault="00127212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Noviembre</w:t>
            </w:r>
            <w:r w:rsidR="00322A30">
              <w:rPr>
                <w:rFonts w:ascii="Arial" w:hAnsi="Arial" w:cs="Arial"/>
                <w:sz w:val="24"/>
                <w:szCs w:val="24"/>
                <w:lang w:val="es-CO"/>
              </w:rPr>
              <w:t xml:space="preserve"> 2023</w:t>
            </w:r>
          </w:p>
        </w:tc>
      </w:tr>
      <w:tr w:rsidR="00671DEC" w:rsidRPr="00C42FBA" w:rsidTr="00D32833">
        <w:tc>
          <w:tcPr>
            <w:tcW w:w="5070" w:type="dxa"/>
            <w:shd w:val="clear" w:color="auto" w:fill="D9D9D9"/>
          </w:tcPr>
          <w:p w:rsidR="00671DEC" w:rsidRPr="00C42FBA" w:rsidRDefault="00F50967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4786" w:type="dxa"/>
            <w:shd w:val="clear" w:color="auto" w:fill="D9D9D9"/>
          </w:tcPr>
          <w:p w:rsidR="00671DEC" w:rsidRPr="00C42FBA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C42FBA" w:rsidTr="00D32833">
        <w:tc>
          <w:tcPr>
            <w:tcW w:w="5070" w:type="dxa"/>
            <w:shd w:val="clear" w:color="auto" w:fill="auto"/>
          </w:tcPr>
          <w:p w:rsidR="00671DEC" w:rsidRDefault="0029762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</w:t>
            </w:r>
          </w:p>
          <w:p w:rsidR="00D34F0B" w:rsidRPr="00C42FBA" w:rsidRDefault="00D34F0B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  <w:tc>
          <w:tcPr>
            <w:tcW w:w="4786" w:type="dxa"/>
            <w:shd w:val="clear" w:color="auto" w:fill="auto"/>
          </w:tcPr>
          <w:p w:rsidR="00D34F0B" w:rsidRDefault="00D34F0B" w:rsidP="00D34F0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</w:t>
            </w:r>
          </w:p>
          <w:p w:rsidR="00671DEC" w:rsidRPr="00C42FBA" w:rsidRDefault="00D34F0B" w:rsidP="00D34F0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D9D9D9"/>
          </w:tcPr>
          <w:p w:rsidR="00671DEC" w:rsidRPr="00F50967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F509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auto"/>
          </w:tcPr>
          <w:p w:rsidR="00671DEC" w:rsidRPr="00D34F0B" w:rsidRDefault="00D34F0B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E030B">
              <w:rPr>
                <w:rFonts w:ascii="Arial" w:hAnsi="Arial" w:cs="Arial"/>
                <w:color w:val="000000"/>
                <w:sz w:val="24"/>
                <w:szCs w:val="24"/>
              </w:rPr>
              <w:t>Personero(a) Delegado en lo Penal y Familia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Personal de apoyo a la g</w:t>
            </w:r>
            <w:r w:rsidRPr="009718DC">
              <w:rPr>
                <w:rFonts w:ascii="Arial" w:hAnsi="Arial" w:cs="Arial"/>
                <w:sz w:val="24"/>
                <w:szCs w:val="24"/>
              </w:rPr>
              <w:t>estión</w:t>
            </w: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5B6833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AUDITORI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CB6B5F" w:rsidRPr="00C42FBA" w:rsidRDefault="00D34F0B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34F0B">
              <w:rPr>
                <w:rFonts w:ascii="Arial" w:hAnsi="Arial" w:cs="Arial"/>
                <w:sz w:val="24"/>
                <w:szCs w:val="24"/>
                <w:lang w:val="es-CO"/>
              </w:rPr>
              <w:t>Garantizar los Derechos Constitucionales de la sociedad, mediante la intervención permanente en los despachos judiciales y administrativos, conducentes a la protección y restablecimiento de los derechos humanos y fundamentales a través del ejercicio de los principios de la función pública, legalidad y debido proceso.</w:t>
            </w:r>
          </w:p>
          <w:p w:rsidR="00671DEC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A1142" w:rsidRPr="001C2694" w:rsidRDefault="00DA1142" w:rsidP="00DA114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A1142">
              <w:rPr>
                <w:rFonts w:ascii="Arial" w:hAnsi="Arial" w:cs="Arial"/>
                <w:sz w:val="24"/>
                <w:szCs w:val="24"/>
                <w:lang w:val="es-CO"/>
              </w:rPr>
              <w:t xml:space="preserve">Garantizar la eficacia, la eficiencia y economía en todas las operaciones promoviendo y facilitando la correcta ejecución de las funciones y actividades definidas para el logro de la misión </w:t>
            </w:r>
            <w:r w:rsidR="000A440C" w:rsidRPr="00DA1142">
              <w:rPr>
                <w:rFonts w:ascii="Arial" w:hAnsi="Arial" w:cs="Arial"/>
                <w:sz w:val="24"/>
                <w:szCs w:val="24"/>
                <w:lang w:val="es-CO"/>
              </w:rPr>
              <w:t>institucional,</w:t>
            </w:r>
            <w:r w:rsidRPr="00DA1142">
              <w:rPr>
                <w:rFonts w:ascii="Arial" w:hAnsi="Arial" w:cs="Arial"/>
                <w:sz w:val="24"/>
                <w:szCs w:val="24"/>
                <w:lang w:val="es-CO"/>
              </w:rPr>
              <w:t xml:space="preserve"> Objetivo especifico según la Ley 87 de 1993,</w:t>
            </w:r>
          </w:p>
          <w:p w:rsidR="00DA1142" w:rsidRPr="00C42FBA" w:rsidRDefault="00DA1142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AUDITORIA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Default="0031598F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El proceso de auditoría abarca </w:t>
            </w: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 xml:space="preserve">los procesos desarrollados en la delegatura de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penal y de Familia, </w:t>
            </w:r>
            <w:r w:rsidR="00D34F0B" w:rsidRPr="00D34F0B">
              <w:rPr>
                <w:rFonts w:ascii="Arial" w:hAnsi="Arial" w:cs="Arial"/>
                <w:sz w:val="24"/>
                <w:szCs w:val="24"/>
                <w:lang w:val="es-CO"/>
              </w:rPr>
              <w:t>Inicia con la intervención a petición de parte u oficiosamente y finaliza con respuestas acorde a la solicitud, interposición de recursos, y revisiones al debido proceso ante los diferentes despachos judiciales y administrativos que garanticen, protejan y restablezcan los derechos humanos y fundamentales.</w:t>
            </w:r>
          </w:p>
          <w:p w:rsidR="0031598F" w:rsidRPr="00C42FBA" w:rsidRDefault="0031598F" w:rsidP="00D34F0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</w:t>
            </w:r>
            <w:r w:rsidR="00E16085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AUDITORIA)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Default="00766870" w:rsidP="001C269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34F0B">
              <w:rPr>
                <w:rFonts w:ascii="Arial" w:hAnsi="Arial" w:cs="Arial"/>
                <w:sz w:val="24"/>
                <w:szCs w:val="24"/>
                <w:lang w:val="es-CO"/>
              </w:rPr>
              <w:t>(Leyes, N</w:t>
            </w:r>
            <w:r w:rsidR="00D44765" w:rsidRPr="00D34F0B">
              <w:rPr>
                <w:rFonts w:ascii="Arial" w:hAnsi="Arial" w:cs="Arial"/>
                <w:sz w:val="24"/>
                <w:szCs w:val="24"/>
                <w:lang w:val="es-CO"/>
              </w:rPr>
              <w:t xml:space="preserve">ormas, ISO 9001-2015, MIPG </w:t>
            </w:r>
            <w:r w:rsidRPr="00D34F0B">
              <w:rPr>
                <w:rFonts w:ascii="Arial" w:hAnsi="Arial" w:cs="Arial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  <w:r w:rsidR="00D34F0B" w:rsidRPr="00D34F0B">
              <w:rPr>
                <w:rFonts w:ascii="Arial" w:hAnsi="Arial" w:cs="Arial"/>
                <w:sz w:val="24"/>
                <w:szCs w:val="24"/>
                <w:lang w:val="es-CO"/>
              </w:rPr>
              <w:t xml:space="preserve"> y en especial Resolución 120 de 2020 (diciembre 23), por medio de la cual se adopta el  Plan Estratégico Institucional 2021-2024. Acuerdo 022 de 2012  Por medio del cual se adopta la </w:t>
            </w:r>
            <w:r w:rsidR="00D34F0B" w:rsidRPr="00D34F0B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Estructura Administrativa de la Personería de Itagüí. Acuerdo 012 de 2015 por el cual se adopta y se actualiza el Manual de Funciones y Competencias Laborales de la Personería de Itagüí y se modifica el Acuerdo 022 de 2012.</w:t>
            </w:r>
            <w:r w:rsidR="001C2694" w:rsidRPr="001C2694">
              <w:rPr>
                <w:rFonts w:ascii="Arial" w:hAnsi="Arial" w:cs="Arial"/>
                <w:sz w:val="24"/>
                <w:szCs w:val="24"/>
                <w:lang w:val="es-CO"/>
              </w:rPr>
              <w:t>Código PenalLEY 599 DE 2000</w:t>
            </w:r>
            <w:r w:rsidR="001C2694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1C2694" w:rsidRPr="001C2694">
              <w:rPr>
                <w:rFonts w:ascii="Arial" w:hAnsi="Arial" w:cs="Arial"/>
                <w:sz w:val="24"/>
                <w:szCs w:val="24"/>
                <w:lang w:val="es-CO"/>
              </w:rPr>
              <w:t>, Ver Ley 600 de 2000 (Código de Procedimiento Penal), Ver Ley 906 de 2004 (Nuevo Código de Procedimiento Penal)., Código Penitenciario</w:t>
            </w:r>
            <w:r w:rsidR="000A69A9">
              <w:rPr>
                <w:rFonts w:ascii="Arial" w:hAnsi="Arial" w:cs="Arial"/>
                <w:sz w:val="24"/>
                <w:szCs w:val="24"/>
                <w:lang w:val="es-CO"/>
              </w:rPr>
              <w:t xml:space="preserve"> Y Carcelario </w:t>
            </w:r>
            <w:r w:rsidR="000A69A9" w:rsidRPr="000A69A9">
              <w:rPr>
                <w:rFonts w:ascii="Arial" w:hAnsi="Arial" w:cs="Arial"/>
                <w:sz w:val="24"/>
                <w:szCs w:val="24"/>
                <w:lang w:val="es-CO"/>
              </w:rPr>
              <w:t>LEY 65 DE 1993</w:t>
            </w:r>
            <w:r w:rsidR="000A69A9">
              <w:rPr>
                <w:rFonts w:ascii="Arial" w:hAnsi="Arial" w:cs="Arial"/>
                <w:sz w:val="24"/>
                <w:szCs w:val="24"/>
                <w:lang w:val="es-CO"/>
              </w:rPr>
              <w:t xml:space="preserve"> y </w:t>
            </w:r>
            <w:r w:rsidR="000A69A9" w:rsidRPr="000A69A9">
              <w:rPr>
                <w:rFonts w:ascii="Arial" w:hAnsi="Arial" w:cs="Arial"/>
                <w:sz w:val="24"/>
                <w:szCs w:val="24"/>
                <w:lang w:val="es-CO"/>
              </w:rPr>
              <w:t>LEY 1709 DE 2014</w:t>
            </w:r>
            <w:r w:rsidR="000A69A9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  <w:r w:rsidR="000A69A9" w:rsidRPr="000A69A9">
              <w:rPr>
                <w:rFonts w:ascii="Arial" w:hAnsi="Arial" w:cs="Arial"/>
                <w:sz w:val="24"/>
                <w:szCs w:val="24"/>
                <w:lang w:val="es-CO"/>
              </w:rPr>
              <w:t>Código de Infancia Ley 1098 de 2006, Violencia intrafamiliar Ley 294 de 1996 y demás normas que modifican y complementan las anteriores, Jurisprudencia, reglas de la sana crítica.</w:t>
            </w:r>
          </w:p>
          <w:p w:rsidR="00671DEC" w:rsidRPr="00C42FBA" w:rsidRDefault="00671DEC" w:rsidP="00DA114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c>
          <w:tcPr>
            <w:tcW w:w="9932" w:type="dxa"/>
            <w:gridSpan w:val="4"/>
            <w:shd w:val="clear" w:color="auto" w:fill="D9D9D9" w:themeFill="background1" w:themeFillShade="D9"/>
          </w:tcPr>
          <w:p w:rsidR="002C04CF" w:rsidRPr="002C04CF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2C04CF">
              <w:rPr>
                <w:rFonts w:ascii="Arial" w:hAnsi="Arial" w:cs="Arial"/>
                <w:b/>
                <w:sz w:val="24"/>
                <w:szCs w:val="24"/>
              </w:rPr>
              <w:lastRenderedPageBreak/>
              <w:t>RESUMEN DE LA AUDITORÍA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C04CF" w:rsidRPr="00C42FBA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919">
              <w:rPr>
                <w:rFonts w:ascii="Arial" w:hAnsi="Arial" w:cs="Arial"/>
                <w:sz w:val="24"/>
                <w:szCs w:val="24"/>
              </w:rPr>
              <w:t xml:space="preserve">Siendo </w:t>
            </w:r>
            <w:r>
              <w:rPr>
                <w:rFonts w:ascii="Arial" w:hAnsi="Arial" w:cs="Arial"/>
                <w:sz w:val="24"/>
                <w:szCs w:val="24"/>
              </w:rPr>
              <w:t xml:space="preserve">las 7:00 am se da apertura a la auditoria se hace la presentación líder de auditoría Jefe de la Oficina de Control Interno, se lee el plan de auditoría se explica el alcance y desarrollo de la misma la cual se informa que se realizara de manera presencial en la </w:t>
            </w:r>
            <w:r w:rsidRPr="00655251">
              <w:rPr>
                <w:rFonts w:ascii="Arial" w:hAnsi="Arial" w:cs="Arial"/>
                <w:sz w:val="24"/>
                <w:szCs w:val="24"/>
              </w:rPr>
              <w:t>oficina de la delegatur</w:t>
            </w:r>
            <w:r>
              <w:rPr>
                <w:rFonts w:ascii="Arial" w:hAnsi="Arial" w:cs="Arial"/>
                <w:sz w:val="24"/>
                <w:szCs w:val="24"/>
              </w:rPr>
              <w:t>a, se procede a dar lectura al</w:t>
            </w:r>
            <w:r w:rsidRPr="00655251">
              <w:rPr>
                <w:rFonts w:ascii="Arial" w:hAnsi="Arial" w:cs="Arial"/>
                <w:sz w:val="24"/>
                <w:szCs w:val="24"/>
              </w:rPr>
              <w:t xml:space="preserve"> programa de auditoría se</w:t>
            </w:r>
            <w:r>
              <w:rPr>
                <w:rFonts w:ascii="Arial" w:hAnsi="Arial" w:cs="Arial"/>
                <w:sz w:val="24"/>
                <w:szCs w:val="24"/>
              </w:rPr>
              <w:t xml:space="preserve"> hace hincapié que se trata de una auditoria </w:t>
            </w:r>
            <w:r w:rsidRPr="00655251">
              <w:rPr>
                <w:rFonts w:ascii="Arial" w:hAnsi="Arial" w:cs="Arial"/>
                <w:sz w:val="24"/>
                <w:szCs w:val="24"/>
              </w:rPr>
              <w:t>donde se realiza según el siclo PHVA, donde a través de un cuestionario se realizan una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55251">
              <w:rPr>
                <w:rFonts w:ascii="Arial" w:hAnsi="Arial" w:cs="Arial"/>
                <w:sz w:val="24"/>
                <w:szCs w:val="24"/>
              </w:rPr>
              <w:t xml:space="preserve"> preguntas encaminadas a establecer la manera como los funcionarios en sus actividades le dan aplicación al trámite del proceso </w:t>
            </w:r>
            <w:r w:rsidRPr="0031598F">
              <w:rPr>
                <w:rFonts w:ascii="Arial" w:hAnsi="Arial" w:cs="Arial"/>
                <w:sz w:val="24"/>
                <w:szCs w:val="24"/>
              </w:rPr>
              <w:t>PPF- 01 Intervención y Asistencia en los Procesos Penales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31598F">
              <w:rPr>
                <w:rFonts w:ascii="Arial" w:hAnsi="Arial" w:cs="Arial"/>
                <w:sz w:val="24"/>
                <w:szCs w:val="24"/>
              </w:rPr>
              <w:t>PPF- 03 Intervención y asiste</w:t>
            </w:r>
            <w:r>
              <w:rPr>
                <w:rFonts w:ascii="Arial" w:hAnsi="Arial" w:cs="Arial"/>
                <w:sz w:val="24"/>
                <w:szCs w:val="24"/>
              </w:rPr>
              <w:t>ncia en los procesos de familia y PPF-04 Ley de Apoyo: tres procesos  y cinco formatos</w:t>
            </w:r>
          </w:p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Pr="0031598F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8F">
              <w:rPr>
                <w:rFonts w:ascii="Arial" w:hAnsi="Arial" w:cs="Arial"/>
                <w:sz w:val="24"/>
                <w:szCs w:val="24"/>
              </w:rPr>
              <w:t xml:space="preserve">FPF-03 Registro de expedientes de actuaciones </w:t>
            </w:r>
            <w:r w:rsidR="00F30A98">
              <w:rPr>
                <w:rFonts w:ascii="Arial" w:hAnsi="Arial" w:cs="Arial"/>
                <w:sz w:val="24"/>
                <w:szCs w:val="24"/>
              </w:rPr>
              <w:t>e</w:t>
            </w:r>
            <w:r w:rsidRPr="0031598F">
              <w:rPr>
                <w:rFonts w:ascii="Arial" w:hAnsi="Arial" w:cs="Arial"/>
                <w:sz w:val="24"/>
                <w:szCs w:val="24"/>
              </w:rPr>
              <w:t xml:space="preserve"> Intervenciones en Procesos Penales y de Familia</w:t>
            </w:r>
          </w:p>
          <w:p w:rsidR="0031598F" w:rsidRPr="0031598F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8F">
              <w:rPr>
                <w:rFonts w:ascii="Arial" w:hAnsi="Arial" w:cs="Arial"/>
                <w:sz w:val="24"/>
                <w:szCs w:val="24"/>
              </w:rPr>
              <w:t>FPF-04 Registro de diligencia Penal y Familia</w:t>
            </w:r>
          </w:p>
          <w:p w:rsidR="0031598F" w:rsidRPr="0031598F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8F">
              <w:rPr>
                <w:rFonts w:ascii="Arial" w:hAnsi="Arial" w:cs="Arial"/>
                <w:sz w:val="24"/>
                <w:szCs w:val="24"/>
              </w:rPr>
              <w:t>FPF-05 Formato Solicitud Ley de Apoyo</w:t>
            </w:r>
          </w:p>
          <w:p w:rsidR="0031598F" w:rsidRPr="0031598F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8F">
              <w:rPr>
                <w:rFonts w:ascii="Arial" w:hAnsi="Arial" w:cs="Arial"/>
                <w:sz w:val="24"/>
                <w:szCs w:val="24"/>
              </w:rPr>
              <w:t>FPF-06 Seguimientos a solicitudes Ley de Apoyo</w:t>
            </w:r>
          </w:p>
          <w:p w:rsidR="0031598F" w:rsidRPr="0031598F" w:rsidRDefault="0031598F" w:rsidP="0031598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98F">
              <w:rPr>
                <w:rFonts w:ascii="Arial" w:hAnsi="Arial" w:cs="Arial"/>
                <w:sz w:val="24"/>
                <w:szCs w:val="24"/>
              </w:rPr>
              <w:t>FPF-07 Informe Valoración de Apoyo</w:t>
            </w:r>
          </w:p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 de la Dependencia</w:t>
            </w:r>
          </w:p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E30FD9">
              <w:rPr>
                <w:rFonts w:ascii="Arial" w:hAnsi="Arial" w:cs="Arial"/>
                <w:sz w:val="24"/>
                <w:szCs w:val="24"/>
              </w:rPr>
              <w:t xml:space="preserve">apa de procesos  </w:t>
            </w:r>
          </w:p>
          <w:p w:rsidR="0031598F" w:rsidRDefault="0031598F" w:rsidP="003159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598F" w:rsidRDefault="00CF30AC" w:rsidP="003159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Delegatura de Penal y de Familia</w:t>
            </w:r>
            <w:r w:rsidR="0031598F" w:rsidRPr="00E30FD9">
              <w:rPr>
                <w:rFonts w:ascii="Arial" w:hAnsi="Arial" w:cs="Arial"/>
                <w:sz w:val="24"/>
                <w:szCs w:val="24"/>
              </w:rPr>
              <w:t xml:space="preserve"> forman parte del HACER procesos misionales de la Entidad, </w:t>
            </w:r>
          </w:p>
          <w:p w:rsidR="0031598F" w:rsidRDefault="0031598F" w:rsidP="00315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185772" cy="2675882"/>
                  <wp:effectExtent l="19050" t="0" r="5228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679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98F" w:rsidRDefault="0031598F" w:rsidP="00315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98F" w:rsidRDefault="00CF30AC" w:rsidP="00CF30AC">
            <w:pPr>
              <w:pStyle w:val="Prrafodelista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La Personería Municipal de Itagüí es un organismo de vigilancia y control, de carácter independiente, que, en cumplimiento de sus facultades constitucionales y legales, promueve, divulga y actúa como agente de los derechos humanos, </w:t>
            </w:r>
            <w:r w:rsidRPr="00CF30A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Garantizar los Derechos Constitucionales de la sociedad, mediante la intervención permanente en los despachos judiciales y administrativos, conducentes a la protección y restablecimiento de los derechos humanos y fundamentales a través del ejercicio de los principios de la función pública, legalidad y debido proceso.</w:t>
            </w:r>
          </w:p>
          <w:p w:rsidR="00CF30AC" w:rsidRDefault="00CF30AC" w:rsidP="00CF30AC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7AF3" w:rsidRDefault="00637AF3" w:rsidP="00CF30AC">
            <w:pPr>
              <w:pStyle w:val="Prrafodelista"/>
              <w:jc w:val="both"/>
              <w:rPr>
                <w:rFonts w:ascii="TT1E2o00" w:hAnsi="TT1E2o00" w:cs="TT1E2o00"/>
                <w:sz w:val="23"/>
                <w:szCs w:val="23"/>
                <w:lang w:eastAsia="es-AR"/>
              </w:rPr>
            </w:pPr>
            <w:r w:rsidRPr="000A440C">
              <w:rPr>
                <w:rFonts w:ascii="TT1E2o00" w:hAnsi="TT1E2o00" w:cs="TT1E2o00"/>
                <w:sz w:val="23"/>
                <w:szCs w:val="23"/>
                <w:lang w:eastAsia="es-AR"/>
              </w:rPr>
              <w:t xml:space="preserve">Actualmente la Delegatura de Penal y Familia, cuenta con el siguiente Personal: </w:t>
            </w:r>
            <w:r w:rsidR="000A440C" w:rsidRPr="000A440C">
              <w:rPr>
                <w:rFonts w:ascii="TT1E2o00" w:hAnsi="TT1E2o00" w:cs="TT1E2o00"/>
                <w:sz w:val="23"/>
                <w:szCs w:val="23"/>
                <w:lang w:eastAsia="es-AR"/>
              </w:rPr>
              <w:t>personales de apoyo</w:t>
            </w:r>
            <w:r w:rsidR="000A440C">
              <w:rPr>
                <w:rFonts w:ascii="TT1E2o00" w:hAnsi="TT1E2o00" w:cs="TT1E2o00"/>
                <w:sz w:val="23"/>
                <w:szCs w:val="23"/>
                <w:lang w:eastAsia="es-AR"/>
              </w:rPr>
              <w:t xml:space="preserve"> tres </w:t>
            </w:r>
            <w:r w:rsidR="000A440C" w:rsidRPr="000A440C">
              <w:rPr>
                <w:rFonts w:ascii="TT1E2o00" w:hAnsi="TT1E2o00" w:cs="TT1E2o00"/>
                <w:sz w:val="23"/>
                <w:szCs w:val="23"/>
                <w:lang w:eastAsia="es-AR"/>
              </w:rPr>
              <w:t>a la gestión, Dos abogados y una auxiliar administrativa</w:t>
            </w:r>
            <w:r w:rsidR="000A440C">
              <w:rPr>
                <w:rFonts w:ascii="TT1E2o00" w:hAnsi="TT1E2o00" w:cs="TT1E2o00"/>
                <w:sz w:val="23"/>
                <w:szCs w:val="23"/>
                <w:lang w:eastAsia="es-AR"/>
              </w:rPr>
              <w:t xml:space="preserve"> que </w:t>
            </w:r>
            <w:r w:rsidR="0029762A">
              <w:rPr>
                <w:rFonts w:ascii="TT1E2o00" w:hAnsi="TT1E2o00" w:cs="TT1E2o00"/>
                <w:sz w:val="23"/>
                <w:szCs w:val="23"/>
                <w:lang w:eastAsia="es-AR"/>
              </w:rPr>
              <w:t>acompañan</w:t>
            </w:r>
            <w:r w:rsidR="000A440C">
              <w:rPr>
                <w:rFonts w:ascii="TT1E2o00" w:hAnsi="TT1E2o00" w:cs="TT1E2o00"/>
                <w:sz w:val="23"/>
                <w:szCs w:val="23"/>
                <w:lang w:eastAsia="es-AR"/>
              </w:rPr>
              <w:t xml:space="preserve"> la delegatura</w:t>
            </w:r>
          </w:p>
          <w:p w:rsidR="00637AF3" w:rsidRPr="0031598F" w:rsidRDefault="00637AF3" w:rsidP="00CF30AC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04CF" w:rsidRPr="00637AF3" w:rsidRDefault="000A440C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La delegada actúa como supervisor de los contratos de prestación de servicios y de apoyo a la gestión de la delega tura, encontrando que los mismos se cumplen a cabalidad. </w:t>
            </w:r>
            <w:r w:rsidR="008617D8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Pagos al Sistema de la Seguridad social del Personal de 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Apoyo: Se</w:t>
            </w:r>
            <w:r w:rsidR="00877641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verifica que los documentos soportes al pago de los aportes obligatorios al sistema de la seguridad 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social corresponden</w:t>
            </w:r>
            <w:r w:rsidR="00877641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 los aportes liquidados sobre los ingresos provenientes del contrato suscrito </w:t>
            </w:r>
            <w:r w:rsidR="000849C4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 Prestación de Servicios y de Apoyo a la Gestión.</w:t>
            </w:r>
          </w:p>
          <w:p w:rsidR="00A57C73" w:rsidRPr="008617D8" w:rsidRDefault="00A57C73" w:rsidP="00A57C73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DA8" w:rsidRPr="002655D6" w:rsidRDefault="008617D8" w:rsidP="00092DA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Plan de Mejoramiento: 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Producto de Auditoría Interna SGC</w:t>
            </w:r>
            <w:r w:rsidR="001E0B8F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la vigencia 2023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se evidenciaron Dos</w:t>
            </w:r>
            <w:r w:rsidR="001E0B8F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(2)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Acciones de tipo Correctiva y </w:t>
            </w:r>
            <w:r w:rsidR="001E0B8F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Seis (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1E0B8F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acciones de mejora, las mismas fueron analizadas Mediante acta N°247 de 2023, y acta N°203 de Comité Primario, según recomendación de la auditoría, se aprueba la actualización y la información documentada que sirve como soporte al Plan de Mejoras</w:t>
            </w:r>
            <w:r w:rsidR="002655D6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; quedando a satisfecha las  acciones </w:t>
            </w:r>
            <w:r w:rsidR="002655D6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implementadas donde se dio cumplimiento a las recomendaciones dadas por el equipo auditor,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quedando listo para ser aprobado por el comité de Gestión y Desempeño para </w:t>
            </w:r>
            <w:r w:rsidR="002655D6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materializar su implementación y proceder al cierre de la acción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cuya conclusión es revisar el procedimiento</w:t>
            </w:r>
            <w:r w:rsidR="002655D6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PPF-01 y</w:t>
            </w:r>
            <w:r w:rsidR="001E0B8F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PPF-03 y</w:t>
            </w:r>
            <w:r w:rsidR="00A57C73" w:rsidRP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el FORMATO FPF-03</w:t>
            </w:r>
            <w:r w:rsidR="001E0B8F" w:rsidRPr="002655D6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  <w:r w:rsidR="00A57C73" w:rsidRPr="002655D6">
              <w:rPr>
                <w:rFonts w:ascii="Arial" w:hAnsi="Arial" w:cs="Arial"/>
                <w:sz w:val="24"/>
                <w:szCs w:val="24"/>
                <w:lang w:val="es-CO"/>
              </w:rPr>
              <w:t xml:space="preserve"> junto con sus procedimientos, </w:t>
            </w:r>
            <w:r w:rsidR="002655D6" w:rsidRPr="002655D6">
              <w:rPr>
                <w:rFonts w:ascii="Arial" w:hAnsi="Arial" w:cs="Arial"/>
                <w:sz w:val="24"/>
                <w:szCs w:val="24"/>
                <w:lang w:val="es-CO"/>
              </w:rPr>
              <w:t xml:space="preserve"> se corrigieron</w:t>
            </w:r>
            <w:r w:rsidR="00A57C73" w:rsidRPr="002655D6">
              <w:rPr>
                <w:rFonts w:ascii="Arial" w:hAnsi="Arial" w:cs="Arial"/>
                <w:sz w:val="24"/>
                <w:szCs w:val="24"/>
                <w:lang w:val="es-CO"/>
              </w:rPr>
              <w:t xml:space="preserve"> errores y actualizar </w:t>
            </w:r>
            <w:r w:rsidR="002655D6" w:rsidRPr="002655D6">
              <w:rPr>
                <w:rFonts w:ascii="Arial" w:hAnsi="Arial" w:cs="Arial"/>
                <w:sz w:val="24"/>
                <w:szCs w:val="24"/>
                <w:lang w:val="es-CO"/>
              </w:rPr>
              <w:t>los formatos en SGC</w:t>
            </w:r>
          </w:p>
          <w:p w:rsidR="00092DA8" w:rsidRDefault="00092DA8" w:rsidP="00092DA8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617D8" w:rsidRPr="00637AF3" w:rsidRDefault="001E0B8F" w:rsidP="001E0B8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Mapa de Riesgos: No se ha materializado los riesgos establecidos por parte de la Delegatura Penal y Familia,  dado que se actuó diligentemente ante las denuncias o presunciones a violaciones al debido proceso; No se solicitó nulidad de las actuaciones en los procesos de Penal y Familia. La</w:t>
            </w:r>
            <w:r w:rsid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 Metas cumplidas son del 100% 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 129 solicitudes de intervención en procesos Penales y de Familia / se realizaron 129 intervenciones (129/129*100)=100%</w:t>
            </w:r>
            <w:r w:rsid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todas las solicitudes que ingresan en el Sistema de gestión son atendidas dentro de los términos Legales</w:t>
            </w:r>
          </w:p>
          <w:p w:rsidR="001E0B8F" w:rsidRPr="001E0B8F" w:rsidRDefault="001E0B8F" w:rsidP="001E0B8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0B8F" w:rsidRDefault="001E0B8F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Valoración de los Indicadores: </w:t>
            </w:r>
            <w:r w:rsidR="00036C5D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DEMANDAS DE LEY DE APOYO: 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Procedimientos de Ley de Apoyo</w:t>
            </w:r>
            <w:r w:rsidR="00036C5D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Demandas realizadas con base a la Ley 1996 de 2019.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De acuerdo al Plan de Acción en procedimientos de Ley de apoyos, </w:t>
            </w:r>
            <w:r w:rsidR="00036C5D"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r w:rsidRPr="00637AF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21 Intervenciones realizadas de 21 Intervenciones solicitadas 1/21*100) Meta cumplida al 100%.</w:t>
            </w:r>
          </w:p>
          <w:p w:rsidR="00C87FA1" w:rsidRPr="00C87FA1" w:rsidRDefault="00C87FA1" w:rsidP="00C87FA1">
            <w:pPr>
              <w:pStyle w:val="Prrafodelista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C87FA1" w:rsidRPr="00637AF3" w:rsidRDefault="00C87FA1" w:rsidP="00637AF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Respuesta PQRS: </w:t>
            </w:r>
            <w:r w:rsidR="002655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 dio cumplimiento en tiempo oportuna a la totalidad de las solicitudes presentadas, </w:t>
            </w:r>
          </w:p>
          <w:p w:rsidR="00637AF3" w:rsidRPr="00637AF3" w:rsidRDefault="00637AF3" w:rsidP="00637AF3">
            <w:pPr>
              <w:pStyle w:val="Prrafodelista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637AF3" w:rsidRDefault="00637AF3" w:rsidP="00637A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7AF3" w:rsidRDefault="00637AF3" w:rsidP="00637AF3">
            <w:pPr>
              <w:jc w:val="both"/>
              <w:rPr>
                <w:rFonts w:ascii="TT1A2o00" w:hAnsi="TT1A2o00" w:cs="TT1A2o00"/>
                <w:sz w:val="23"/>
                <w:szCs w:val="23"/>
                <w:lang w:eastAsia="es-AR"/>
              </w:rPr>
            </w:pPr>
            <w:r w:rsidRPr="00233C97">
              <w:rPr>
                <w:rFonts w:ascii="TT1A2o00" w:hAnsi="TT1A2o00" w:cs="TT1A2o00"/>
                <w:sz w:val="23"/>
                <w:szCs w:val="23"/>
                <w:lang w:eastAsia="es-AR"/>
              </w:rPr>
              <w:t>CONCLUSIÓN:</w:t>
            </w:r>
          </w:p>
          <w:p w:rsidR="00637AF3" w:rsidRDefault="00637AF3" w:rsidP="00637AF3">
            <w:pPr>
              <w:jc w:val="both"/>
              <w:rPr>
                <w:rFonts w:ascii="TT1A2o00" w:hAnsi="TT1A2o00" w:cs="TT1A2o00"/>
                <w:sz w:val="23"/>
                <w:szCs w:val="23"/>
                <w:lang w:eastAsia="es-AR"/>
              </w:rPr>
            </w:pPr>
          </w:p>
          <w:p w:rsidR="00637AF3" w:rsidRDefault="00637AF3" w:rsidP="00637AF3">
            <w:pPr>
              <w:jc w:val="both"/>
              <w:rPr>
                <w:rFonts w:ascii="TT1A2o00" w:hAnsi="TT1A2o00" w:cs="TT1A2o00"/>
                <w:sz w:val="23"/>
                <w:szCs w:val="23"/>
                <w:lang w:eastAsia="es-AR"/>
              </w:rPr>
            </w:pPr>
            <w:r>
              <w:rPr>
                <w:rFonts w:ascii="TT1E2o00" w:hAnsi="TT1E2o00" w:cs="TT1E2o00"/>
                <w:sz w:val="23"/>
                <w:szCs w:val="23"/>
                <w:lang w:eastAsia="es-AR"/>
              </w:rPr>
              <w:t xml:space="preserve">Durante el seguimiento a la gestión de la delegatura </w:t>
            </w:r>
            <w:r>
              <w:rPr>
                <w:rFonts w:ascii="TT2A2o00" w:hAnsi="TT2A2o00" w:cs="TT2A2o00"/>
                <w:sz w:val="23"/>
                <w:szCs w:val="23"/>
                <w:lang w:eastAsia="es-AR"/>
              </w:rPr>
              <w:t>Penal y Familia, se verifica cada una de las accione propuestas y se veri</w:t>
            </w:r>
            <w:r w:rsidR="002655D6">
              <w:rPr>
                <w:rFonts w:ascii="TT2A2o00" w:hAnsi="TT2A2o00" w:cs="TT2A2o00"/>
                <w:sz w:val="23"/>
                <w:szCs w:val="23"/>
                <w:lang w:eastAsia="es-AR"/>
              </w:rPr>
              <w:t>fico con el informe de gestión de e</w:t>
            </w:r>
            <w:r>
              <w:rPr>
                <w:rFonts w:ascii="TT2A2o00" w:hAnsi="TT2A2o00" w:cs="TT2A2o00"/>
                <w:sz w:val="23"/>
                <w:szCs w:val="23"/>
                <w:lang w:eastAsia="es-AR"/>
              </w:rPr>
              <w:t xml:space="preserve">nero a </w:t>
            </w:r>
            <w:r w:rsidR="002655D6">
              <w:rPr>
                <w:rFonts w:ascii="TT2A2o00" w:hAnsi="TT2A2o00" w:cs="TT2A2o00"/>
                <w:sz w:val="23"/>
                <w:szCs w:val="23"/>
                <w:lang w:eastAsia="es-AR"/>
              </w:rPr>
              <w:t>noviembre</w:t>
            </w:r>
            <w:r>
              <w:rPr>
                <w:rFonts w:ascii="TT2A2o00" w:hAnsi="TT2A2o00" w:cs="TT2A2o00"/>
                <w:sz w:val="23"/>
                <w:szCs w:val="23"/>
                <w:lang w:eastAsia="es-AR"/>
              </w:rPr>
              <w:t xml:space="preserve"> de 2023, </w:t>
            </w:r>
            <w:r w:rsidRPr="00637AF3">
              <w:rPr>
                <w:rFonts w:ascii="TT2A2o00" w:hAnsi="TT2A2o00" w:cs="TT2A2o00"/>
                <w:sz w:val="23"/>
                <w:szCs w:val="23"/>
                <w:lang w:eastAsia="es-AR"/>
              </w:rPr>
              <w:t>Se evidencian medidas de autocontrol en el proceso en general, principalmente debido a que se lleva organizada la información en cuadrosde Excel permitiendo tener claridad en los tiempos límites para la aplicación</w:t>
            </w:r>
            <w:r>
              <w:rPr>
                <w:rFonts w:ascii="TT2A2o00" w:hAnsi="TT2A2o00" w:cs="TT2A2o00"/>
                <w:sz w:val="23"/>
                <w:szCs w:val="23"/>
                <w:lang w:eastAsia="es-AR"/>
              </w:rPr>
              <w:t xml:space="preserve"> y seguimiento </w:t>
            </w:r>
            <w:r w:rsidRPr="00637AF3">
              <w:rPr>
                <w:rFonts w:ascii="TT2A2o00" w:hAnsi="TT2A2o00" w:cs="TT2A2o00"/>
                <w:sz w:val="23"/>
                <w:szCs w:val="23"/>
                <w:lang w:eastAsia="es-AR"/>
              </w:rPr>
              <w:t>de compromisos.</w:t>
            </w:r>
          </w:p>
          <w:p w:rsidR="00637AF3" w:rsidRPr="00637AF3" w:rsidRDefault="00637AF3" w:rsidP="00637A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C42FBA" w:rsidTr="00D34F0B">
        <w:tc>
          <w:tcPr>
            <w:tcW w:w="9932" w:type="dxa"/>
            <w:gridSpan w:val="4"/>
            <w:shd w:val="clear" w:color="auto" w:fill="D9D9D9"/>
          </w:tcPr>
          <w:p w:rsidR="002C04CF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HALLAZGOS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437B2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  <w:vAlign w:val="center"/>
          </w:tcPr>
          <w:p w:rsidR="00BB6908" w:rsidRPr="00437B2E" w:rsidRDefault="000849C4" w:rsidP="00437B2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849C4">
              <w:rPr>
                <w:rFonts w:ascii="Arial" w:hAnsi="Arial" w:cs="Arial"/>
                <w:sz w:val="24"/>
                <w:szCs w:val="24"/>
                <w:lang w:val="es-CO"/>
              </w:rPr>
              <w:t>Atención personalizada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286D12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437B2E" w:rsidRDefault="008617D8" w:rsidP="00437B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T</w:t>
            </w:r>
            <w:r w:rsidRPr="008617D8">
              <w:rPr>
                <w:rFonts w:ascii="Arial" w:hAnsi="Arial" w:cs="Arial"/>
                <w:sz w:val="24"/>
                <w:szCs w:val="24"/>
                <w:lang w:val="es-CO"/>
              </w:rPr>
              <w:t>alento Humano cualificado, con sentido de pertenencia, cultura de prestación de servicios.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FA3F44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F056A2" w:rsidRDefault="008617D8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617D8">
              <w:rPr>
                <w:rFonts w:ascii="Arial" w:hAnsi="Arial" w:cs="Arial"/>
                <w:sz w:val="24"/>
                <w:szCs w:val="24"/>
                <w:lang w:val="es-CO"/>
              </w:rPr>
              <w:t>Posicionamiento institucional frente a la comunidad y otras instituciones</w:t>
            </w:r>
          </w:p>
        </w:tc>
      </w:tr>
      <w:tr w:rsidR="008617D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Default="008617D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8617D8" w:rsidRDefault="008617D8" w:rsidP="008617D8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617D8">
              <w:rPr>
                <w:rFonts w:ascii="Arial" w:hAnsi="Arial" w:cs="Arial"/>
                <w:b/>
                <w:sz w:val="24"/>
                <w:szCs w:val="24"/>
                <w:lang w:val="es-CO"/>
              </w:rPr>
              <w:t>DEBILIDADES</w:t>
            </w:r>
          </w:p>
        </w:tc>
      </w:tr>
      <w:tr w:rsidR="008617D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Default="004A649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4A6499" w:rsidRDefault="004A6499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A6499">
              <w:rPr>
                <w:rFonts w:ascii="Arial" w:hAnsi="Arial" w:cs="Arial"/>
                <w:sz w:val="24"/>
                <w:szCs w:val="24"/>
                <w:lang w:val="es-CO"/>
              </w:rPr>
              <w:t>Las condiciones de los espacios físicos de atención al público son limitados.</w:t>
            </w:r>
          </w:p>
        </w:tc>
      </w:tr>
      <w:tr w:rsidR="008617D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Default="004A649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4A6499" w:rsidRDefault="004A6499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A6499">
              <w:rPr>
                <w:rFonts w:ascii="Arial" w:hAnsi="Arial" w:cs="Arial"/>
                <w:sz w:val="24"/>
                <w:szCs w:val="24"/>
                <w:lang w:val="es-CO"/>
              </w:rPr>
              <w:t xml:space="preserve">Recurso Humano: cambio del recurso humano constante y contratación por periodos </w:t>
            </w:r>
            <w:r w:rsidRPr="004A6499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cortos</w:t>
            </w:r>
            <w:r w:rsidR="000D00DB">
              <w:rPr>
                <w:rFonts w:ascii="Arial" w:hAnsi="Arial" w:cs="Arial"/>
                <w:sz w:val="24"/>
                <w:szCs w:val="24"/>
                <w:lang w:val="es-CO"/>
              </w:rPr>
              <w:t xml:space="preserve"> no permite la continuidad de los procesos</w:t>
            </w:r>
            <w:r w:rsidRPr="004A6499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617D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617D8" w:rsidRDefault="000D00DB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8617D8" w:rsidRPr="004A6499" w:rsidRDefault="00CD63CF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D00DB">
              <w:rPr>
                <w:rFonts w:ascii="Arial" w:hAnsi="Arial" w:cs="Arial"/>
                <w:sz w:val="24"/>
                <w:szCs w:val="24"/>
                <w:lang w:val="es-CO"/>
              </w:rPr>
              <w:t>Falta de tecnología (hardware y software) apropiada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</w:p>
        </w:tc>
      </w:tr>
      <w:tr w:rsidR="000D00DB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0D00DB" w:rsidRDefault="00CD63CF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0D00DB" w:rsidRDefault="000D00DB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D00DB">
              <w:rPr>
                <w:rFonts w:ascii="Arial" w:hAnsi="Arial" w:cs="Arial"/>
                <w:sz w:val="24"/>
                <w:szCs w:val="24"/>
                <w:lang w:val="es-CO"/>
              </w:rPr>
              <w:t>Recursos financieros insuficientes para atender toda la demanda de la población vulnerada y el desarrollo de los programas de la Entidad</w:t>
            </w:r>
          </w:p>
        </w:tc>
      </w:tr>
      <w:tr w:rsidR="000D00DB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0D00DB" w:rsidRDefault="000D00DB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0D00DB" w:rsidRPr="000D00DB" w:rsidRDefault="000D00DB" w:rsidP="004A649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8617D8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BFBFBF"/>
          </w:tcPr>
          <w:p w:rsidR="00BB6908" w:rsidRPr="00C42FBA" w:rsidRDefault="00BB690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>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BB6908" w:rsidRPr="00C42FBA" w:rsidRDefault="002C04CF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EE1BF4" w:rsidRDefault="00CF30AC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 forme a la entrada en vigencia de </w:t>
            </w:r>
            <w:r w:rsidRPr="007938D0">
              <w:rPr>
                <w:rFonts w:ascii="Arial" w:hAnsi="Arial" w:cs="Arial"/>
                <w:sz w:val="24"/>
                <w:szCs w:val="24"/>
              </w:rPr>
              <w:t>Competencias de Ley 1952 de 2019 código general disciplinario que derogan la ley 734 de 2002 y algunas disposiciones de la ley 1474 de 2011, relacionadas con el derecho Disciplinario. y modificado por la Ley 2094 de 2021</w:t>
            </w:r>
            <w:r>
              <w:rPr>
                <w:rFonts w:ascii="Arial" w:hAnsi="Arial" w:cs="Arial"/>
                <w:sz w:val="24"/>
                <w:szCs w:val="24"/>
              </w:rPr>
              <w:t>, es conveniente ajustar los siguientes Procesos y Procedimientos</w:t>
            </w:r>
            <w:r w:rsidR="00EE1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BF4">
              <w:rPr>
                <w:rFonts w:ascii="Arial" w:hAnsi="Arial" w:cs="Arial"/>
                <w:sz w:val="24"/>
                <w:szCs w:val="24"/>
                <w:lang w:val="es-CO"/>
              </w:rPr>
              <w:t>Funciones que fueron delegadas a través de las Resoluciones 112 de 2022, que modifica la resolución 047 de 2022 manual de funciones y competencias de la Personería municipal de Itagüí, por medio de la cual se modifican unas funciones y competencias y La Resolución 113 de 2022, mediante la cual se delegan y se asignan y redistribuyen funciones para separar los roles de instrucción y Juzgamiento y garantizar los tramites del proceso disciplinario, conforme en la entrada en vigencia de la Ley 1952 de 2019 y 2094 de 2021.</w:t>
            </w:r>
          </w:p>
          <w:p w:rsidR="00CF30AC" w:rsidRDefault="00CF30AC" w:rsidP="00CF30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F30AC" w:rsidRDefault="0029762A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Igualmente se indica que la</w:t>
            </w:r>
            <w:r w:rsidR="00CF30AC" w:rsidRPr="007938D0">
              <w:rPr>
                <w:rFonts w:ascii="Arial" w:hAnsi="Arial" w:cs="Arial"/>
                <w:sz w:val="24"/>
                <w:szCs w:val="24"/>
                <w:lang w:val="es-CO"/>
              </w:rPr>
              <w:t xml:space="preserve"> mirada al procedimiento disciplinario que rige actualmente. La Ley 1952 del 2019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  <w:r w:rsidR="00CF30AC" w:rsidRPr="007938D0">
              <w:rPr>
                <w:rFonts w:ascii="Arial" w:hAnsi="Arial" w:cs="Arial"/>
                <w:sz w:val="24"/>
                <w:szCs w:val="24"/>
                <w:lang w:val="es-CO"/>
              </w:rPr>
              <w:t xml:space="preserve"> había dispuesto que, a partir de determinado momento, en todos los casos, el procedimiento sería de carácter oral, pero la Ley 2094 del 2021 modificó la situación y volvió a fijar un procedimiento ordinario y uno verbal</w:t>
            </w:r>
            <w:r w:rsidR="00CF30AC">
              <w:rPr>
                <w:rFonts w:ascii="Arial" w:hAnsi="Arial" w:cs="Arial"/>
                <w:sz w:val="24"/>
                <w:szCs w:val="24"/>
                <w:lang w:val="es-CO"/>
              </w:rPr>
              <w:t xml:space="preserve"> el cual requiere ser documentado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en sistema de </w:t>
            </w:r>
            <w:r w:rsidR="00CF30AC">
              <w:rPr>
                <w:rFonts w:ascii="Arial" w:hAnsi="Arial" w:cs="Arial"/>
                <w:sz w:val="24"/>
                <w:szCs w:val="24"/>
                <w:lang w:val="es-CO"/>
              </w:rPr>
              <w:t>SGC</w:t>
            </w:r>
            <w:r w:rsidR="00CF30AC" w:rsidRPr="007938D0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Default="00CF30AC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De lo observado</w:t>
            </w:r>
            <w:r w:rsidR="0029762A">
              <w:rPr>
                <w:rFonts w:ascii="Arial" w:hAnsi="Arial" w:cs="Arial"/>
                <w:sz w:val="24"/>
                <w:szCs w:val="24"/>
                <w:lang w:val="es-CO"/>
              </w:rPr>
              <w:t>, la D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elegatura </w:t>
            </w:r>
            <w:r w:rsidR="0029762A">
              <w:rPr>
                <w:rFonts w:ascii="Arial" w:hAnsi="Arial" w:cs="Arial"/>
                <w:sz w:val="24"/>
                <w:szCs w:val="24"/>
                <w:lang w:val="es-CO"/>
              </w:rPr>
              <w:t>en lo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Penal y de Familia deberán suscribir plan de mejoramiento mediante los cuales se incorporen las </w:t>
            </w:r>
            <w:r w:rsidRPr="007938D0">
              <w:rPr>
                <w:rFonts w:ascii="Arial" w:hAnsi="Arial" w:cs="Arial"/>
                <w:sz w:val="24"/>
                <w:szCs w:val="24"/>
              </w:rPr>
              <w:t>Competencias de Ley 1952 de 2019 código general disci</w:t>
            </w:r>
            <w:r w:rsidR="0029762A">
              <w:rPr>
                <w:rFonts w:ascii="Arial" w:hAnsi="Arial" w:cs="Arial"/>
                <w:sz w:val="24"/>
                <w:szCs w:val="24"/>
              </w:rPr>
              <w:t>plinario que deroga</w:t>
            </w:r>
            <w:r w:rsidRPr="007938D0">
              <w:rPr>
                <w:rFonts w:ascii="Arial" w:hAnsi="Arial" w:cs="Arial"/>
                <w:sz w:val="24"/>
                <w:szCs w:val="24"/>
              </w:rPr>
              <w:t xml:space="preserve"> la ley 734 de 2002</w:t>
            </w:r>
            <w:r w:rsidR="00EE1BF4">
              <w:rPr>
                <w:rFonts w:ascii="Arial" w:hAnsi="Arial" w:cs="Arial"/>
                <w:sz w:val="24"/>
                <w:szCs w:val="24"/>
                <w:lang w:val="es-CO"/>
              </w:rPr>
              <w:t xml:space="preserve">, en su Etapa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de Juzgamiento </w:t>
            </w:r>
          </w:p>
          <w:p w:rsidR="00EE1BF4" w:rsidRDefault="00EE1BF4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D7C41" w:rsidRDefault="009D7C41" w:rsidP="00EE1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130938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rStyle w:val="hgkelc"/>
                <w:sz w:val="24"/>
                <w:szCs w:val="24"/>
                <w:lang w:val="es-MX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</w:rPr>
              <w:t>(ii) investigación disciplinaria,</w:t>
            </w:r>
          </w:p>
          <w:p w:rsidR="00CF30AC" w:rsidRPr="00130938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rStyle w:val="hgkelc"/>
                <w:sz w:val="24"/>
                <w:szCs w:val="24"/>
                <w:lang w:val="es-MX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</w:rPr>
              <w:t xml:space="preserve">(iii) cierre de la investigación y evaluación y </w:t>
            </w:r>
          </w:p>
          <w:p w:rsidR="00CF30AC" w:rsidRPr="003D6AF5" w:rsidRDefault="00CF30AC" w:rsidP="00CF30AC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b/>
                <w:sz w:val="24"/>
                <w:szCs w:val="24"/>
                <w:lang w:val="es-MX"/>
              </w:rPr>
            </w:pPr>
            <w:r w:rsidRPr="003D6AF5">
              <w:rPr>
                <w:rStyle w:val="hgkelc"/>
                <w:rFonts w:ascii="Arial" w:hAnsi="Arial" w:cs="Arial"/>
                <w:b/>
                <w:color w:val="040C28"/>
                <w:sz w:val="24"/>
                <w:szCs w:val="24"/>
                <w:shd w:val="clear" w:color="auto" w:fill="FFFFFF"/>
              </w:rPr>
              <w:t>(iv) etapa de juzgamiento</w:t>
            </w:r>
            <w:r w:rsidRPr="003D6AF5">
              <w:rPr>
                <w:rStyle w:val="hgkelc"/>
                <w:rFonts w:ascii="Arial" w:hAnsi="Arial" w:cs="Arial"/>
                <w:b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D7C41" w:rsidRDefault="009D7C41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130938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Causa 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CF30AC" w:rsidRPr="00B56F87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56F87">
              <w:rPr>
                <w:rFonts w:ascii="Arial" w:hAnsi="Arial" w:cs="Arial"/>
                <w:sz w:val="24"/>
                <w:szCs w:val="24"/>
                <w:lang w:val="es-CO"/>
              </w:rPr>
              <w:t xml:space="preserve">Posibilidad de </w:t>
            </w:r>
            <w:r w:rsidR="00CD63CF">
              <w:rPr>
                <w:rFonts w:ascii="Arial" w:hAnsi="Arial" w:cs="Arial"/>
                <w:sz w:val="24"/>
                <w:szCs w:val="24"/>
                <w:lang w:val="es-CO"/>
              </w:rPr>
              <w:t xml:space="preserve">aplicación de normas derogadas </w:t>
            </w:r>
            <w:r w:rsidRPr="00B56F87">
              <w:rPr>
                <w:rFonts w:ascii="Arial" w:hAnsi="Arial" w:cs="Arial"/>
                <w:sz w:val="24"/>
                <w:szCs w:val="24"/>
                <w:lang w:val="es-CO"/>
              </w:rPr>
              <w:t xml:space="preserve">y falta de capacitación </w:t>
            </w:r>
            <w:r w:rsidR="00CD63CF">
              <w:rPr>
                <w:rFonts w:ascii="Arial" w:hAnsi="Arial" w:cs="Arial"/>
                <w:sz w:val="24"/>
                <w:szCs w:val="24"/>
                <w:lang w:val="es-CO"/>
              </w:rPr>
              <w:t xml:space="preserve">en </w:t>
            </w:r>
            <w:r w:rsidRPr="00B56F87">
              <w:rPr>
                <w:rFonts w:ascii="Arial" w:hAnsi="Arial" w:cs="Arial"/>
                <w:sz w:val="24"/>
                <w:szCs w:val="24"/>
                <w:lang w:val="es-CO"/>
              </w:rPr>
              <w:t>Competencias de Ley 1952 de 2019 código general disciplinario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Pr="00B56F87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56F87">
              <w:rPr>
                <w:rFonts w:ascii="Arial" w:hAnsi="Arial" w:cs="Arial"/>
                <w:sz w:val="24"/>
                <w:szCs w:val="24"/>
                <w:lang w:val="es-CO"/>
              </w:rPr>
              <w:t>Efectos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Posibilidad de nulidades Procesales y de Vulneración de normas del debido procesos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Criterios Normativos, Normas Y reglamentos, políticas internas, planes y Directivas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Constitución Política de Colombia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1991</w:t>
            </w: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</w:p>
          <w:p w:rsidR="00CF30AC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 xml:space="preserve">Ley 1474 de 2011 </w:t>
            </w:r>
          </w:p>
          <w:p w:rsidR="00CF30AC" w:rsidRPr="00130938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Ley 136 de 1994 Función de las Personerías Art. 178 N° 4</w:t>
            </w:r>
          </w:p>
          <w:p w:rsidR="00CF30AC" w:rsidRPr="00130938" w:rsidRDefault="00CF30AC" w:rsidP="00CF30A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Ley 1474 de 2011</w:t>
            </w:r>
          </w:p>
          <w:p w:rsidR="00BB6908" w:rsidRPr="00FA3F44" w:rsidRDefault="00CF30AC" w:rsidP="00CD63C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Ley 1952 de 2019 código general disciplinario que derogan la ley 734 de 2002 y algunas disposiciones de la ley 1474 de 2011, relacionadas con el derecho Disciplinario. y modificado por la Ley 2094 de 2021</w:t>
            </w: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766870" w:rsidRDefault="00BB6908" w:rsidP="007668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BFBFBF"/>
          </w:tcPr>
          <w:p w:rsidR="00BB6908" w:rsidRPr="00C42FBA" w:rsidRDefault="00AA0BF4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CONCLUSIONES 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/RECOMENDACIONES 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 LA AUDITORÍ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auto"/>
          </w:tcPr>
          <w:p w:rsidR="00BB6908" w:rsidRPr="00C42FBA" w:rsidRDefault="00CF30AC" w:rsidP="003D6AF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F30AC">
              <w:rPr>
                <w:rFonts w:ascii="Arial" w:hAnsi="Arial" w:cs="Arial"/>
                <w:sz w:val="24"/>
                <w:szCs w:val="24"/>
                <w:lang w:val="es-CO"/>
              </w:rPr>
              <w:t xml:space="preserve">Es importante Realizar la documentación de los procesos, se sugiere que los delegados de la Vigilancia Administrativa, Penal y Familia  establezcan un plan de trabajo y fijen plazo para realizar la caracterización y aprobación de los procesos y procedimientos </w:t>
            </w:r>
            <w:r w:rsidR="00DE6D06">
              <w:rPr>
                <w:rFonts w:ascii="Arial" w:hAnsi="Arial" w:cs="Arial"/>
                <w:sz w:val="24"/>
                <w:szCs w:val="24"/>
                <w:lang w:val="es-CO"/>
              </w:rPr>
              <w:t>Disciplinarios</w:t>
            </w:r>
            <w:r w:rsidRPr="00CF30AC">
              <w:rPr>
                <w:rFonts w:ascii="Arial" w:hAnsi="Arial" w:cs="Arial"/>
                <w:sz w:val="24"/>
                <w:szCs w:val="24"/>
                <w:lang w:val="es-CO"/>
              </w:rPr>
              <w:t xml:space="preserve">, en sus diferentes Etapas y de actualización normativa Ley 1952 de 2019 y Ley 2094 de 2021, </w:t>
            </w:r>
            <w:bookmarkStart w:id="0" w:name="_GoBack"/>
            <w:bookmarkEnd w:id="0"/>
            <w:r w:rsidR="00DE6D06">
              <w:rPr>
                <w:rFonts w:ascii="Arial" w:hAnsi="Arial" w:cs="Arial"/>
                <w:sz w:val="24"/>
                <w:szCs w:val="24"/>
                <w:lang w:val="es-CO"/>
              </w:rPr>
              <w:t>las bases fundamentales de la I</w:t>
            </w:r>
            <w:r w:rsidRPr="00CF30AC">
              <w:rPr>
                <w:rFonts w:ascii="Arial" w:hAnsi="Arial" w:cs="Arial"/>
                <w:sz w:val="24"/>
                <w:szCs w:val="24"/>
                <w:lang w:val="es-CO"/>
              </w:rPr>
              <w:t>nstrucción y el juzgamiento, garantizar el derecho a la defensa durante toda la actuación disciplinara al investigado y así también como para dejar la información documentada de cada Pr</w:t>
            </w:r>
            <w:r w:rsidR="003D6AF5">
              <w:rPr>
                <w:rFonts w:ascii="Arial" w:hAnsi="Arial" w:cs="Arial"/>
                <w:sz w:val="24"/>
                <w:szCs w:val="24"/>
                <w:lang w:val="es-CO"/>
              </w:rPr>
              <w:t xml:space="preserve">oceso y procedimiento en el SGC; en el entendido que la delegatura de penal y de familia solo es competen Etapa de Juzgamiento Funciones que fueron delegadas a través de las Resoluciones 112 de 2022, que modifica la resolución 047 de 2022 manual de funciones y competencias de la Personería municipal de Itagüí, por medio de la cual se modifican unas funciones y competencias y La Resolución 113 de 2022, mediante la cual se delegan y se asignan y redistribuyen funciones para separar los roles de instrucción y Juzgamiento </w:t>
            </w:r>
          </w:p>
        </w:tc>
      </w:tr>
    </w:tbl>
    <w:p w:rsidR="009D7C41" w:rsidRDefault="009D7C41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A3786" w:rsidRPr="009A3786">
        <w:rPr>
          <w:rFonts w:ascii="Arial" w:hAnsi="Arial" w:cs="Arial"/>
          <w:b/>
          <w:sz w:val="24"/>
          <w:szCs w:val="24"/>
          <w:lang w:val="es-CO"/>
        </w:rPr>
        <w:t>_____________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>
        <w:rPr>
          <w:rFonts w:ascii="Arial" w:hAnsi="Arial" w:cs="Arial"/>
          <w:b/>
          <w:sz w:val="24"/>
          <w:szCs w:val="24"/>
          <w:lang w:val="es-CO"/>
        </w:rPr>
        <w:t>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___________</w:t>
      </w:r>
      <w:r w:rsidR="00492DDE" w:rsidRPr="009A3786">
        <w:rPr>
          <w:rFonts w:ascii="Arial" w:hAnsi="Arial" w:cs="Arial"/>
          <w:b/>
          <w:sz w:val="24"/>
          <w:szCs w:val="24"/>
          <w:lang w:val="es-CO"/>
        </w:rPr>
        <w:t>__________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>
        <w:rPr>
          <w:rFonts w:ascii="Arial" w:hAnsi="Arial" w:cs="Arial"/>
          <w:b/>
          <w:sz w:val="24"/>
          <w:szCs w:val="24"/>
          <w:lang w:val="es-CO"/>
        </w:rPr>
        <w:t>:</w:t>
      </w:r>
      <w:r w:rsidR="00BB6908">
        <w:rPr>
          <w:rFonts w:ascii="Arial" w:hAnsi="Arial" w:cs="Arial"/>
          <w:b/>
          <w:sz w:val="24"/>
          <w:szCs w:val="24"/>
          <w:lang w:val="es-CO"/>
        </w:rPr>
        <w:t>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="00F50967">
        <w:rPr>
          <w:rFonts w:ascii="Arial" w:hAnsi="Arial" w:cs="Arial"/>
          <w:b/>
          <w:sz w:val="24"/>
          <w:szCs w:val="24"/>
          <w:lang w:val="es-CO"/>
        </w:rPr>
        <w:t>__</w:t>
      </w:r>
      <w:r w:rsidR="00E66563">
        <w:rPr>
          <w:rFonts w:ascii="Arial" w:hAnsi="Arial" w:cs="Arial"/>
          <w:b/>
          <w:sz w:val="24"/>
          <w:szCs w:val="24"/>
          <w:lang w:val="es-CO"/>
        </w:rPr>
        <w:t>_____________________</w:t>
      </w: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56280">
        <w:rPr>
          <w:rFonts w:ascii="Arial" w:hAnsi="Arial" w:cs="Arial"/>
          <w:b/>
          <w:sz w:val="24"/>
          <w:szCs w:val="24"/>
          <w:lang w:val="es-CO"/>
        </w:rPr>
        <w:t>____</w:t>
      </w:r>
      <w:r>
        <w:rPr>
          <w:rFonts w:ascii="Arial" w:hAnsi="Arial" w:cs="Arial"/>
          <w:b/>
          <w:sz w:val="24"/>
          <w:szCs w:val="24"/>
          <w:lang w:val="es-CO"/>
        </w:rPr>
        <w:t>________________________________</w:t>
      </w:r>
      <w:r w:rsidR="002C04CF">
        <w:rPr>
          <w:rFonts w:ascii="Arial" w:hAnsi="Arial" w:cs="Arial"/>
          <w:b/>
          <w:sz w:val="24"/>
          <w:szCs w:val="24"/>
          <w:lang w:val="es-CO"/>
        </w:rPr>
        <w:t>___</w:t>
      </w:r>
    </w:p>
    <w:sectPr w:rsidR="00FE3D69" w:rsidRPr="009A3786" w:rsidSect="002C0AE3">
      <w:headerReference w:type="default" r:id="rId8"/>
      <w:footerReference w:type="default" r:id="rId9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AB" w:rsidRDefault="000024AB">
      <w:r>
        <w:separator/>
      </w:r>
    </w:p>
  </w:endnote>
  <w:endnote w:type="continuationSeparator" w:id="0">
    <w:p w:rsidR="000024AB" w:rsidRDefault="0000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E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A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A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9762A" w:rsidRPr="00E25F48" w:rsidTr="00D34F0B">
      <w:tc>
        <w:tcPr>
          <w:tcW w:w="5796" w:type="dxa"/>
          <w:shd w:val="clear" w:color="auto" w:fill="auto"/>
        </w:tcPr>
        <w:p w:rsidR="0029762A" w:rsidRPr="00E25F48" w:rsidRDefault="0029762A" w:rsidP="00D34F0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9762A" w:rsidRPr="00E25F48" w:rsidRDefault="0029762A" w:rsidP="00D34F0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762A" w:rsidRDefault="0029762A" w:rsidP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AB" w:rsidRDefault="000024AB">
      <w:r>
        <w:separator/>
      </w:r>
    </w:p>
  </w:footnote>
  <w:footnote w:type="continuationSeparator" w:id="0">
    <w:p w:rsidR="000024AB" w:rsidRDefault="00002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2A" w:rsidRDefault="0029762A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29762A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29762A" w:rsidRPr="008270E8" w:rsidRDefault="0029762A" w:rsidP="00D34F0B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9762A" w:rsidRPr="008270E8" w:rsidRDefault="0029762A" w:rsidP="00D34F0B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29762A" w:rsidRDefault="0029762A" w:rsidP="00D34F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9762A" w:rsidRPr="009C4E7E" w:rsidRDefault="0029762A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29762A" w:rsidRPr="009C4E7E" w:rsidRDefault="0029762A" w:rsidP="00D34F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9762A" w:rsidRPr="008270E8" w:rsidRDefault="0029762A" w:rsidP="00F534D4">
          <w:pPr>
            <w:jc w:val="center"/>
          </w:pPr>
        </w:p>
      </w:tc>
      <w:tc>
        <w:tcPr>
          <w:tcW w:w="2545" w:type="dxa"/>
          <w:vAlign w:val="center"/>
        </w:tcPr>
        <w:p w:rsidR="0029762A" w:rsidRPr="008270E8" w:rsidRDefault="0029762A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FEM-09</w:t>
          </w:r>
        </w:p>
      </w:tc>
    </w:tr>
    <w:tr w:rsidR="0029762A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29762A" w:rsidRPr="008270E8" w:rsidRDefault="0029762A" w:rsidP="00D34F0B">
          <w:pPr>
            <w:jc w:val="center"/>
          </w:pPr>
        </w:p>
      </w:tc>
      <w:tc>
        <w:tcPr>
          <w:tcW w:w="4820" w:type="dxa"/>
          <w:vMerge/>
          <w:vAlign w:val="center"/>
        </w:tcPr>
        <w:p w:rsidR="0029762A" w:rsidRDefault="0029762A" w:rsidP="00D34F0B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29762A" w:rsidRPr="008270E8" w:rsidRDefault="0029762A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29762A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29762A" w:rsidRPr="008270E8" w:rsidRDefault="0029762A" w:rsidP="00D34F0B">
          <w:pPr>
            <w:jc w:val="center"/>
          </w:pPr>
        </w:p>
      </w:tc>
      <w:tc>
        <w:tcPr>
          <w:tcW w:w="4820" w:type="dxa"/>
          <w:vMerge/>
          <w:vAlign w:val="center"/>
        </w:tcPr>
        <w:p w:rsidR="0029762A" w:rsidRDefault="0029762A" w:rsidP="00D34F0B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29762A" w:rsidRPr="008270E8" w:rsidRDefault="0029762A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echa: 24/02/2022</w:t>
          </w:r>
        </w:p>
      </w:tc>
    </w:tr>
  </w:tbl>
  <w:p w:rsidR="0029762A" w:rsidRDefault="002976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76E35"/>
    <w:multiLevelType w:val="hybridMultilevel"/>
    <w:tmpl w:val="6A0CDA4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55FE0"/>
    <w:multiLevelType w:val="hybridMultilevel"/>
    <w:tmpl w:val="669C04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B6AF0"/>
    <w:multiLevelType w:val="hybridMultilevel"/>
    <w:tmpl w:val="669C04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F0C33"/>
    <w:multiLevelType w:val="hybridMultilevel"/>
    <w:tmpl w:val="FBB4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6A5F81"/>
    <w:multiLevelType w:val="hybridMultilevel"/>
    <w:tmpl w:val="4678F4A8"/>
    <w:lvl w:ilvl="0" w:tplc="C562FA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024AB"/>
    <w:rsid w:val="0001433F"/>
    <w:rsid w:val="00020DE7"/>
    <w:rsid w:val="00025CEC"/>
    <w:rsid w:val="0002601D"/>
    <w:rsid w:val="00036C5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49C4"/>
    <w:rsid w:val="00085547"/>
    <w:rsid w:val="00092DA8"/>
    <w:rsid w:val="000A3AFE"/>
    <w:rsid w:val="000A410C"/>
    <w:rsid w:val="000A440C"/>
    <w:rsid w:val="000A69A9"/>
    <w:rsid w:val="000B3C3A"/>
    <w:rsid w:val="000B5F56"/>
    <w:rsid w:val="000C1B16"/>
    <w:rsid w:val="000C2476"/>
    <w:rsid w:val="000C329E"/>
    <w:rsid w:val="000C3817"/>
    <w:rsid w:val="000D00DB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27212"/>
    <w:rsid w:val="00140656"/>
    <w:rsid w:val="00143898"/>
    <w:rsid w:val="001456BA"/>
    <w:rsid w:val="0015198E"/>
    <w:rsid w:val="0016514D"/>
    <w:rsid w:val="00170630"/>
    <w:rsid w:val="00170679"/>
    <w:rsid w:val="0017069F"/>
    <w:rsid w:val="001742D7"/>
    <w:rsid w:val="00175B85"/>
    <w:rsid w:val="00196ACA"/>
    <w:rsid w:val="001A10FA"/>
    <w:rsid w:val="001A4F97"/>
    <w:rsid w:val="001B23EB"/>
    <w:rsid w:val="001B3776"/>
    <w:rsid w:val="001C2694"/>
    <w:rsid w:val="001C34D0"/>
    <w:rsid w:val="001E0B8F"/>
    <w:rsid w:val="001F0255"/>
    <w:rsid w:val="002014D1"/>
    <w:rsid w:val="002016E5"/>
    <w:rsid w:val="00217908"/>
    <w:rsid w:val="0022019F"/>
    <w:rsid w:val="002237AD"/>
    <w:rsid w:val="0022634E"/>
    <w:rsid w:val="00233BAC"/>
    <w:rsid w:val="00233C97"/>
    <w:rsid w:val="002409EA"/>
    <w:rsid w:val="00242C88"/>
    <w:rsid w:val="00246040"/>
    <w:rsid w:val="0025597D"/>
    <w:rsid w:val="002655D6"/>
    <w:rsid w:val="002741FD"/>
    <w:rsid w:val="002758B0"/>
    <w:rsid w:val="00280F57"/>
    <w:rsid w:val="0028536C"/>
    <w:rsid w:val="00286D12"/>
    <w:rsid w:val="0029473B"/>
    <w:rsid w:val="0029762A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1598F"/>
    <w:rsid w:val="00320A5B"/>
    <w:rsid w:val="00322A30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D1288"/>
    <w:rsid w:val="003D471C"/>
    <w:rsid w:val="003D6AF5"/>
    <w:rsid w:val="003E1596"/>
    <w:rsid w:val="003F07E8"/>
    <w:rsid w:val="003F4715"/>
    <w:rsid w:val="003F5A6C"/>
    <w:rsid w:val="0041715E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A6499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335D7"/>
    <w:rsid w:val="00540725"/>
    <w:rsid w:val="0054744A"/>
    <w:rsid w:val="00553F2D"/>
    <w:rsid w:val="00561402"/>
    <w:rsid w:val="0057291C"/>
    <w:rsid w:val="0058087E"/>
    <w:rsid w:val="00580891"/>
    <w:rsid w:val="00580DEA"/>
    <w:rsid w:val="005810F8"/>
    <w:rsid w:val="005B4FA3"/>
    <w:rsid w:val="005B6833"/>
    <w:rsid w:val="005B7F1F"/>
    <w:rsid w:val="005C3C0B"/>
    <w:rsid w:val="005D2805"/>
    <w:rsid w:val="005E59F5"/>
    <w:rsid w:val="005F43A9"/>
    <w:rsid w:val="005F4620"/>
    <w:rsid w:val="00605E3C"/>
    <w:rsid w:val="0061236E"/>
    <w:rsid w:val="00617525"/>
    <w:rsid w:val="00637AF3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A99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66870"/>
    <w:rsid w:val="00776456"/>
    <w:rsid w:val="0078254C"/>
    <w:rsid w:val="007A79C9"/>
    <w:rsid w:val="007B6EA9"/>
    <w:rsid w:val="007B6EFE"/>
    <w:rsid w:val="007C177F"/>
    <w:rsid w:val="007D1B81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17D8"/>
    <w:rsid w:val="00863572"/>
    <w:rsid w:val="00863A77"/>
    <w:rsid w:val="00872B22"/>
    <w:rsid w:val="00877641"/>
    <w:rsid w:val="008E7AE1"/>
    <w:rsid w:val="008F70ED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D2091"/>
    <w:rsid w:val="009D270A"/>
    <w:rsid w:val="009D7C41"/>
    <w:rsid w:val="009F1A48"/>
    <w:rsid w:val="009F1BBD"/>
    <w:rsid w:val="00A0198B"/>
    <w:rsid w:val="00A0415D"/>
    <w:rsid w:val="00A0497F"/>
    <w:rsid w:val="00A10426"/>
    <w:rsid w:val="00A22426"/>
    <w:rsid w:val="00A46D78"/>
    <w:rsid w:val="00A50288"/>
    <w:rsid w:val="00A57C73"/>
    <w:rsid w:val="00A608C8"/>
    <w:rsid w:val="00A63700"/>
    <w:rsid w:val="00A73DFE"/>
    <w:rsid w:val="00A826F9"/>
    <w:rsid w:val="00A830EB"/>
    <w:rsid w:val="00A83F4B"/>
    <w:rsid w:val="00A84B8A"/>
    <w:rsid w:val="00A85CCE"/>
    <w:rsid w:val="00AA0BF4"/>
    <w:rsid w:val="00AC6AE2"/>
    <w:rsid w:val="00AD5B0F"/>
    <w:rsid w:val="00AE39C0"/>
    <w:rsid w:val="00AF7531"/>
    <w:rsid w:val="00B01531"/>
    <w:rsid w:val="00B16008"/>
    <w:rsid w:val="00B16C4E"/>
    <w:rsid w:val="00B16C7A"/>
    <w:rsid w:val="00B20A45"/>
    <w:rsid w:val="00B215FF"/>
    <w:rsid w:val="00B23A77"/>
    <w:rsid w:val="00B3273C"/>
    <w:rsid w:val="00B33081"/>
    <w:rsid w:val="00B357AC"/>
    <w:rsid w:val="00B41E0D"/>
    <w:rsid w:val="00B47DB7"/>
    <w:rsid w:val="00B5418F"/>
    <w:rsid w:val="00B5585B"/>
    <w:rsid w:val="00B60A10"/>
    <w:rsid w:val="00B62676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71610"/>
    <w:rsid w:val="00C72E74"/>
    <w:rsid w:val="00C87FA1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5718"/>
    <w:rsid w:val="00CC6FBA"/>
    <w:rsid w:val="00CD2603"/>
    <w:rsid w:val="00CD610B"/>
    <w:rsid w:val="00CD63CF"/>
    <w:rsid w:val="00CE598F"/>
    <w:rsid w:val="00CE6AD4"/>
    <w:rsid w:val="00CF30AC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2833"/>
    <w:rsid w:val="00D3354C"/>
    <w:rsid w:val="00D34115"/>
    <w:rsid w:val="00D34F0B"/>
    <w:rsid w:val="00D36973"/>
    <w:rsid w:val="00D37A0F"/>
    <w:rsid w:val="00D44765"/>
    <w:rsid w:val="00D71680"/>
    <w:rsid w:val="00D808E1"/>
    <w:rsid w:val="00D901C3"/>
    <w:rsid w:val="00D92D90"/>
    <w:rsid w:val="00DA0AB8"/>
    <w:rsid w:val="00DA1142"/>
    <w:rsid w:val="00DA530E"/>
    <w:rsid w:val="00DB3798"/>
    <w:rsid w:val="00DC150C"/>
    <w:rsid w:val="00DC1AAA"/>
    <w:rsid w:val="00DD5147"/>
    <w:rsid w:val="00DE003F"/>
    <w:rsid w:val="00DE6D06"/>
    <w:rsid w:val="00DF70A0"/>
    <w:rsid w:val="00DF7C5C"/>
    <w:rsid w:val="00E16085"/>
    <w:rsid w:val="00E23E16"/>
    <w:rsid w:val="00E27A8A"/>
    <w:rsid w:val="00E3460E"/>
    <w:rsid w:val="00E512AC"/>
    <w:rsid w:val="00E56280"/>
    <w:rsid w:val="00E66563"/>
    <w:rsid w:val="00E74E0A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1BF4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25D41"/>
    <w:rsid w:val="00F30A98"/>
    <w:rsid w:val="00F33499"/>
    <w:rsid w:val="00F36396"/>
    <w:rsid w:val="00F50967"/>
    <w:rsid w:val="00F534D4"/>
    <w:rsid w:val="00F611EA"/>
    <w:rsid w:val="00F8331B"/>
    <w:rsid w:val="00F843E3"/>
    <w:rsid w:val="00F848E8"/>
    <w:rsid w:val="00F863E3"/>
    <w:rsid w:val="00F86784"/>
    <w:rsid w:val="00F953F4"/>
    <w:rsid w:val="00F95F9D"/>
    <w:rsid w:val="00FA3F44"/>
    <w:rsid w:val="00FA5406"/>
    <w:rsid w:val="00FB2CE2"/>
    <w:rsid w:val="00FB7165"/>
    <w:rsid w:val="00FD0FFF"/>
    <w:rsid w:val="00FE3D69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  <w:style w:type="character" w:styleId="Hipervnculo">
    <w:name w:val="Hyperlink"/>
    <w:basedOn w:val="Fuentedeprrafopredeter"/>
    <w:uiPriority w:val="99"/>
    <w:semiHidden/>
    <w:unhideWhenUsed/>
    <w:rsid w:val="001C26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7641"/>
    <w:pPr>
      <w:ind w:left="720"/>
      <w:contextualSpacing/>
    </w:pPr>
  </w:style>
  <w:style w:type="character" w:customStyle="1" w:styleId="hgkelc">
    <w:name w:val="hgkelc"/>
    <w:basedOn w:val="Fuentedeprrafopredeter"/>
    <w:rsid w:val="00CF3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1792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63502132</cp:lastModifiedBy>
  <cp:revision>22</cp:revision>
  <cp:lastPrinted>2024-02-19T16:27:00Z</cp:lastPrinted>
  <dcterms:created xsi:type="dcterms:W3CDTF">2015-06-22T22:04:00Z</dcterms:created>
  <dcterms:modified xsi:type="dcterms:W3CDTF">2024-02-19T16:51:00Z</dcterms:modified>
</cp:coreProperties>
</file>