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144"/>
        <w:gridCol w:w="1276"/>
        <w:gridCol w:w="563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C1597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Secretario General 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C15974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Reunión de Talento Humano </w:t>
            </w:r>
          </w:p>
        </w:tc>
        <w:tc>
          <w:tcPr>
            <w:tcW w:w="1304" w:type="dxa"/>
            <w:vAlign w:val="center"/>
          </w:tcPr>
          <w:p w:rsidR="002F4F8E" w:rsidRPr="001A0273" w:rsidRDefault="00C15974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080C9F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571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276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166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080C9F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571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66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080C9F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080C9F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898" w:type="dxa"/>
            <w:vAlign w:val="center"/>
          </w:tcPr>
          <w:p w:rsidR="002F4F8E" w:rsidRPr="001A0273" w:rsidRDefault="00C15974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</w:tc>
        <w:tc>
          <w:tcPr>
            <w:tcW w:w="900" w:type="dxa"/>
            <w:vAlign w:val="center"/>
          </w:tcPr>
          <w:p w:rsidR="002F4F8E" w:rsidRPr="001A0273" w:rsidRDefault="00C1597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571" w:type="dxa"/>
            <w:gridSpan w:val="5"/>
            <w:vAlign w:val="center"/>
          </w:tcPr>
          <w:p w:rsidR="002F4F8E" w:rsidRPr="001A0273" w:rsidRDefault="00C1597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Oficina Secretario General </w:t>
            </w:r>
          </w:p>
        </w:tc>
        <w:tc>
          <w:tcPr>
            <w:tcW w:w="1276" w:type="dxa"/>
            <w:vAlign w:val="center"/>
          </w:tcPr>
          <w:p w:rsidR="002F4F8E" w:rsidRPr="001A0273" w:rsidRDefault="00080C9F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10:20am </w:t>
            </w:r>
          </w:p>
        </w:tc>
        <w:tc>
          <w:tcPr>
            <w:tcW w:w="1166" w:type="dxa"/>
            <w:gridSpan w:val="2"/>
            <w:vAlign w:val="center"/>
          </w:tcPr>
          <w:p w:rsidR="002F4F8E" w:rsidRPr="001A0273" w:rsidRDefault="00080C9F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11:00am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C15974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Reglamento Interno de Trabajo</w:t>
            </w:r>
            <w:r w:rsidR="00080C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C15974" w:rsidRPr="001A0273" w:rsidRDefault="00C15974" w:rsidP="00C1597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 y varios</w:t>
            </w:r>
            <w:r w:rsidR="00080C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7615FB" w:rsidRPr="001A0273" w:rsidTr="00080C9F">
        <w:trPr>
          <w:trHeight w:val="377"/>
        </w:trPr>
        <w:tc>
          <w:tcPr>
            <w:tcW w:w="10065" w:type="dxa"/>
          </w:tcPr>
          <w:p w:rsidR="00C15974" w:rsidRDefault="00C15974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C04646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  <w:p w:rsidR="00C15974" w:rsidRDefault="00C15974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C15974" w:rsidRDefault="00C4247C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>
              <w:rPr>
                <w:rFonts w:cs="Arial"/>
                <w:b/>
                <w:szCs w:val="24"/>
                <w:lang w:val="es-CO"/>
              </w:rPr>
              <w:t xml:space="preserve"> </w:t>
            </w:r>
          </w:p>
          <w:p w:rsidR="00C15974" w:rsidRDefault="00C15974" w:rsidP="0021184C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S</w:t>
            </w:r>
            <w:r w:rsidR="002D7C54">
              <w:rPr>
                <w:rFonts w:cs="Arial"/>
                <w:szCs w:val="24"/>
                <w:lang w:val="es-CO"/>
              </w:rPr>
              <w:t xml:space="preserve">iendo la fecha y hora señalada </w:t>
            </w:r>
            <w:r w:rsidR="00C4247C">
              <w:rPr>
                <w:rFonts w:cs="Arial"/>
                <w:szCs w:val="24"/>
                <w:lang w:val="es-CO"/>
              </w:rPr>
              <w:t>el Dr. Alexander Rico Ocampo, Secretario General, da inicio a la reunión de comité primario de</w:t>
            </w:r>
            <w:r w:rsidR="0021184C">
              <w:rPr>
                <w:rFonts w:cs="Arial"/>
                <w:szCs w:val="24"/>
                <w:lang w:val="es-CO"/>
              </w:rPr>
              <w:t xml:space="preserve">l proceso de </w:t>
            </w:r>
            <w:r w:rsidR="00C4247C">
              <w:rPr>
                <w:rFonts w:cs="Arial"/>
                <w:szCs w:val="24"/>
                <w:lang w:val="es-CO"/>
              </w:rPr>
              <w:t>Talento humano</w:t>
            </w:r>
            <w:r w:rsidR="0021184C">
              <w:rPr>
                <w:rFonts w:cs="Arial"/>
                <w:szCs w:val="24"/>
                <w:lang w:val="es-CO"/>
              </w:rPr>
              <w:t xml:space="preserve">, con las servidoras Diana Mejía Toro y Katherine López Roldan, donde solicita realizar la revisión del Reglamento Interno de Trabajo de la Personería. </w:t>
            </w:r>
          </w:p>
          <w:p w:rsidR="0021184C" w:rsidRDefault="0021184C" w:rsidP="00C15974">
            <w:pPr>
              <w:jc w:val="left"/>
              <w:rPr>
                <w:rFonts w:cs="Arial"/>
                <w:szCs w:val="24"/>
                <w:lang w:val="es-CO"/>
              </w:rPr>
            </w:pPr>
          </w:p>
          <w:p w:rsidR="0021184C" w:rsidRPr="007807BF" w:rsidRDefault="0021184C" w:rsidP="009E160E">
            <w:pPr>
              <w:rPr>
                <w:rFonts w:cs="Arial"/>
                <w:szCs w:val="24"/>
              </w:rPr>
            </w:pPr>
          </w:p>
          <w:p w:rsidR="00C15974" w:rsidRPr="009E160E" w:rsidRDefault="0021184C" w:rsidP="009E160E">
            <w:pPr>
              <w:rPr>
                <w:rFonts w:cs="Arial"/>
                <w:szCs w:val="24"/>
                <w:lang w:val="es-CO"/>
              </w:rPr>
            </w:pPr>
            <w:r w:rsidRPr="009E160E">
              <w:rPr>
                <w:rFonts w:cs="Arial"/>
                <w:szCs w:val="24"/>
                <w:lang w:val="es-CO"/>
              </w:rPr>
              <w:t>S</w:t>
            </w:r>
            <w:r w:rsidR="002343FC" w:rsidRPr="009E160E">
              <w:rPr>
                <w:rFonts w:cs="Arial"/>
                <w:szCs w:val="24"/>
                <w:lang w:val="es-CO"/>
              </w:rPr>
              <w:t xml:space="preserve">e da paso a la revisión mencionada, quedando </w:t>
            </w:r>
            <w:r w:rsidR="009E160E" w:rsidRPr="009E160E">
              <w:rPr>
                <w:rFonts w:cs="Arial"/>
                <w:szCs w:val="24"/>
                <w:lang w:val="es-CO"/>
              </w:rPr>
              <w:t>las</w:t>
            </w:r>
            <w:r w:rsidR="002343FC" w:rsidRPr="009E160E">
              <w:rPr>
                <w:rFonts w:cs="Arial"/>
                <w:szCs w:val="24"/>
                <w:lang w:val="es-CO"/>
              </w:rPr>
              <w:t xml:space="preserve"> </w:t>
            </w:r>
            <w:r w:rsidR="00080C9F">
              <w:rPr>
                <w:rFonts w:cs="Arial"/>
                <w:szCs w:val="24"/>
                <w:lang w:val="es-CO"/>
              </w:rPr>
              <w:t xml:space="preserve">siguientes </w:t>
            </w:r>
            <w:r w:rsidR="002343FC" w:rsidRPr="009E160E">
              <w:rPr>
                <w:rFonts w:cs="Arial"/>
                <w:szCs w:val="24"/>
                <w:lang w:val="es-CO"/>
              </w:rPr>
              <w:t>observaciones:</w:t>
            </w:r>
          </w:p>
          <w:p w:rsidR="002343FC" w:rsidRDefault="002343FC" w:rsidP="009E160E">
            <w:pPr>
              <w:rPr>
                <w:rFonts w:cs="Arial"/>
                <w:szCs w:val="24"/>
                <w:lang w:val="es-CO"/>
              </w:rPr>
            </w:pPr>
          </w:p>
          <w:p w:rsidR="002343FC" w:rsidRDefault="002343FC" w:rsidP="009E160E">
            <w:pPr>
              <w:rPr>
                <w:rFonts w:cs="Arial"/>
                <w:szCs w:val="24"/>
                <w:lang w:val="es-CO"/>
              </w:rPr>
            </w:pPr>
          </w:p>
          <w:p w:rsidR="009E160E" w:rsidRPr="009E160E" w:rsidRDefault="009E160E" w:rsidP="009E160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sz w:val="22"/>
                <w:lang w:val="es-CO"/>
              </w:rPr>
            </w:pPr>
            <w:r w:rsidRPr="009E160E">
              <w:rPr>
                <w:rFonts w:ascii="Arial" w:hAnsi="Arial" w:cs="Arial"/>
                <w:lang w:val="es-CO"/>
              </w:rPr>
              <w:t xml:space="preserve">Solicitar a la </w:t>
            </w:r>
            <w:proofErr w:type="spellStart"/>
            <w:r w:rsidRPr="009E160E">
              <w:rPr>
                <w:rFonts w:ascii="Arial" w:hAnsi="Arial" w:cs="Arial"/>
                <w:lang w:val="es-CO"/>
              </w:rPr>
              <w:t>delegatura</w:t>
            </w:r>
            <w:proofErr w:type="spellEnd"/>
            <w:r w:rsidRPr="009E160E">
              <w:rPr>
                <w:rFonts w:ascii="Arial" w:hAnsi="Arial" w:cs="Arial"/>
                <w:lang w:val="es-CO"/>
              </w:rPr>
              <w:t xml:space="preserve"> de Vigilancia administrativa realizar la revisión de la parte normativa disciplinaria, ubicada en el </w:t>
            </w:r>
            <w:r>
              <w:rPr>
                <w:rFonts w:ascii="Arial" w:hAnsi="Arial" w:cs="Arial"/>
                <w:lang w:val="es-CO"/>
              </w:rPr>
              <w:t>Capítulo III Régimen Disciplinario.</w:t>
            </w:r>
          </w:p>
          <w:p w:rsidR="00A87639" w:rsidRPr="00A87639" w:rsidRDefault="00A87639" w:rsidP="00A87639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Arial"/>
                <w:color w:val="030303"/>
                <w:spacing w:val="2"/>
                <w:sz w:val="22"/>
              </w:rPr>
            </w:pPr>
            <w:r w:rsidRPr="00A87639">
              <w:rPr>
                <w:rFonts w:ascii="Arial" w:hAnsi="Arial" w:cs="Arial"/>
                <w:lang w:val="es-CO"/>
              </w:rPr>
              <w:t>Corregir la palabra SIGEP, descrita en el capítulo V del artículo 23, por la palabra SISGEP.</w:t>
            </w:r>
          </w:p>
          <w:p w:rsidR="00A87639" w:rsidRDefault="00A87639" w:rsidP="00A87639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Arial" w:hAnsi="Arial" w:cs="Arial"/>
                <w:color w:val="030303"/>
                <w:spacing w:val="2"/>
              </w:rPr>
            </w:pPr>
            <w:r w:rsidRPr="00A87639">
              <w:rPr>
                <w:rFonts w:ascii="Arial" w:eastAsia="Arial" w:hAnsi="Arial" w:cs="Arial"/>
                <w:color w:val="040404"/>
              </w:rPr>
              <w:t xml:space="preserve">Para el </w:t>
            </w:r>
            <w:r w:rsidRPr="00080C9F">
              <w:rPr>
                <w:rFonts w:ascii="Arial" w:eastAsia="Arial" w:hAnsi="Arial" w:cs="Arial"/>
                <w:color w:val="040404"/>
              </w:rPr>
              <w:t>artículo 24, Hojas De Vida</w:t>
            </w:r>
            <w:r w:rsidRPr="00935393">
              <w:rPr>
                <w:rFonts w:ascii="Arial" w:eastAsia="Arial" w:hAnsi="Arial" w:cs="Arial"/>
                <w:b/>
                <w:i/>
                <w:color w:val="040404"/>
              </w:rPr>
              <w:t xml:space="preserve">: </w:t>
            </w:r>
            <w:r w:rsidRPr="00935393">
              <w:rPr>
                <w:rFonts w:ascii="Arial" w:eastAsia="Arial" w:hAnsi="Arial" w:cs="Arial"/>
                <w:i/>
                <w:color w:val="030303"/>
                <w:spacing w:val="2"/>
              </w:rPr>
              <w:t xml:space="preserve">La custodia de las historias laborales de los servidores públicos de la Personería de Itagüí, estará a cargo de la Secretaría </w:t>
            </w:r>
            <w:r w:rsidRPr="00935393">
              <w:rPr>
                <w:rFonts w:ascii="Arial" w:eastAsia="Arial" w:hAnsi="Arial" w:cs="Arial"/>
                <w:i/>
                <w:color w:val="030303"/>
                <w:spacing w:val="2"/>
              </w:rPr>
              <w:lastRenderedPageBreak/>
              <w:t>General– dentro del proceso de Gestión del Talento Humano</w:t>
            </w:r>
            <w:r w:rsidRPr="00A87639">
              <w:rPr>
                <w:rFonts w:ascii="Arial" w:eastAsia="Arial" w:hAnsi="Arial" w:cs="Arial"/>
                <w:color w:val="030303"/>
                <w:spacing w:val="2"/>
              </w:rPr>
              <w:t>.</w:t>
            </w:r>
            <w:r>
              <w:rPr>
                <w:rFonts w:ascii="Arial" w:eastAsia="Arial" w:hAnsi="Arial" w:cs="Arial"/>
                <w:color w:val="030303"/>
                <w:spacing w:val="2"/>
              </w:rPr>
              <w:t xml:space="preserve"> Se sugiere aclarar que las historias laborales se encuentran a cargo de la secretaría general, pero que su custodia y </w:t>
            </w:r>
            <w:r w:rsidR="00935393">
              <w:rPr>
                <w:rFonts w:ascii="Arial" w:eastAsia="Arial" w:hAnsi="Arial" w:cs="Arial"/>
                <w:color w:val="030303"/>
                <w:spacing w:val="2"/>
              </w:rPr>
              <w:t>ubicación están</w:t>
            </w:r>
            <w:r>
              <w:rPr>
                <w:rFonts w:ascii="Arial" w:eastAsia="Arial" w:hAnsi="Arial" w:cs="Arial"/>
                <w:color w:val="030303"/>
                <w:spacing w:val="2"/>
              </w:rPr>
              <w:t xml:space="preserve"> a cargo de </w:t>
            </w:r>
            <w:r w:rsidR="00935393">
              <w:rPr>
                <w:rFonts w:ascii="Arial" w:eastAsia="Arial" w:hAnsi="Arial" w:cs="Arial"/>
                <w:color w:val="030303"/>
                <w:spacing w:val="2"/>
              </w:rPr>
              <w:t>Gestión</w:t>
            </w:r>
            <w:r>
              <w:rPr>
                <w:rFonts w:ascii="Arial" w:eastAsia="Arial" w:hAnsi="Arial" w:cs="Arial"/>
                <w:color w:val="030303"/>
                <w:spacing w:val="2"/>
              </w:rPr>
              <w:t xml:space="preserve"> Documental</w:t>
            </w:r>
            <w:r w:rsidR="00935393">
              <w:rPr>
                <w:rFonts w:ascii="Arial" w:eastAsia="Arial" w:hAnsi="Arial" w:cs="Arial"/>
                <w:color w:val="030303"/>
                <w:spacing w:val="2"/>
              </w:rPr>
              <w:t>.</w:t>
            </w:r>
          </w:p>
          <w:p w:rsidR="00AF5192" w:rsidRPr="00AF5192" w:rsidRDefault="00AF5192" w:rsidP="00A87639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Arial" w:hAnsi="Arial" w:cs="Arial"/>
                <w:color w:val="030303"/>
                <w:spacing w:val="2"/>
              </w:rPr>
            </w:pPr>
            <w:r w:rsidRPr="00AF5192">
              <w:rPr>
                <w:rFonts w:ascii="Arial" w:eastAsia="Arial" w:hAnsi="Arial" w:cs="Arial"/>
                <w:color w:val="040404"/>
              </w:rPr>
              <w:t>Cambiar la palabra Empleado por Servidor</w:t>
            </w:r>
            <w:r w:rsidR="00080C9F">
              <w:rPr>
                <w:rFonts w:ascii="Arial" w:eastAsia="Arial" w:hAnsi="Arial" w:cs="Arial"/>
                <w:color w:val="040404"/>
              </w:rPr>
              <w:t xml:space="preserve"> Público. </w:t>
            </w:r>
          </w:p>
          <w:p w:rsidR="00AF5192" w:rsidRPr="00AF5192" w:rsidRDefault="00AF5192" w:rsidP="00AF5192">
            <w:pPr>
              <w:pStyle w:val="Prrafodelista"/>
              <w:numPr>
                <w:ilvl w:val="0"/>
                <w:numId w:val="10"/>
              </w:numPr>
              <w:spacing w:before="34" w:line="276" w:lineRule="auto"/>
              <w:jc w:val="both"/>
              <w:rPr>
                <w:rFonts w:ascii="Arial" w:eastAsia="Arial" w:hAnsi="Arial" w:cs="Arial"/>
                <w:color w:val="030303"/>
                <w:spacing w:val="2"/>
                <w:sz w:val="22"/>
              </w:rPr>
            </w:pPr>
            <w:r w:rsidRPr="00AF5192">
              <w:rPr>
                <w:rFonts w:ascii="Arial" w:eastAsia="Arial" w:hAnsi="Arial" w:cs="Arial"/>
                <w:color w:val="040404"/>
              </w:rPr>
              <w:t xml:space="preserve">Realizar la aclaración en el artículo 56 </w:t>
            </w:r>
            <w:r w:rsidRPr="00AF5192">
              <w:rPr>
                <w:rFonts w:ascii="Arial" w:hAnsi="Arial" w:cs="Arial"/>
              </w:rPr>
              <w:t xml:space="preserve">descanso compensado, </w:t>
            </w:r>
            <w:r w:rsidR="00080C9F">
              <w:rPr>
                <w:rFonts w:ascii="Arial" w:hAnsi="Arial" w:cs="Arial"/>
              </w:rPr>
              <w:t xml:space="preserve">la </w:t>
            </w:r>
            <w:r w:rsidRPr="00AF5192">
              <w:rPr>
                <w:rFonts w:ascii="Arial" w:hAnsi="Arial" w:cs="Arial"/>
              </w:rPr>
              <w:t xml:space="preserve">ley que permite que los servidores de la personería disfruten de la semana santa sin compensar el tiempo a la Entidad.  </w:t>
            </w:r>
          </w:p>
          <w:p w:rsidR="00AF5192" w:rsidRDefault="00AF5192" w:rsidP="00AF5192">
            <w:pPr>
              <w:pStyle w:val="Prrafodelista"/>
              <w:spacing w:before="34" w:line="276" w:lineRule="auto"/>
              <w:ind w:left="720"/>
              <w:jc w:val="both"/>
              <w:rPr>
                <w:rFonts w:ascii="Arial" w:eastAsia="Arial" w:hAnsi="Arial" w:cs="Arial"/>
                <w:color w:val="040404"/>
              </w:rPr>
            </w:pPr>
          </w:p>
          <w:p w:rsidR="00AF5192" w:rsidRDefault="00AF5192" w:rsidP="00AF5192">
            <w:pPr>
              <w:pStyle w:val="Prrafodelista"/>
              <w:spacing w:before="34" w:line="276" w:lineRule="auto"/>
              <w:ind w:left="720"/>
              <w:jc w:val="both"/>
              <w:rPr>
                <w:rFonts w:ascii="Arial" w:eastAsia="Arial" w:hAnsi="Arial" w:cs="Arial"/>
                <w:color w:val="040404"/>
              </w:rPr>
            </w:pPr>
          </w:p>
          <w:p w:rsidR="00AF5192" w:rsidRDefault="00AF5192" w:rsidP="00AF5192">
            <w:pPr>
              <w:pStyle w:val="Prrafodelista"/>
              <w:spacing w:before="34" w:line="276" w:lineRule="auto"/>
              <w:ind w:left="720"/>
              <w:jc w:val="both"/>
              <w:rPr>
                <w:rFonts w:ascii="Arial" w:eastAsia="Arial" w:hAnsi="Arial" w:cs="Arial"/>
                <w:b/>
                <w:color w:val="040404"/>
              </w:rPr>
            </w:pPr>
            <w:r>
              <w:rPr>
                <w:rFonts w:ascii="Arial" w:eastAsia="Arial" w:hAnsi="Arial" w:cs="Arial"/>
                <w:b/>
                <w:color w:val="040404"/>
              </w:rPr>
              <w:t xml:space="preserve">Proposiciones y Varios </w:t>
            </w:r>
          </w:p>
          <w:p w:rsidR="00AF5192" w:rsidRPr="00080C9F" w:rsidRDefault="00AF5192" w:rsidP="00AF5192">
            <w:pPr>
              <w:pStyle w:val="Prrafodelista"/>
              <w:spacing w:before="34" w:line="276" w:lineRule="auto"/>
              <w:ind w:left="720"/>
              <w:jc w:val="both"/>
              <w:rPr>
                <w:rFonts w:ascii="Arial" w:eastAsia="Arial" w:hAnsi="Arial" w:cs="Arial"/>
                <w:color w:val="040404"/>
              </w:rPr>
            </w:pPr>
          </w:p>
          <w:p w:rsidR="00AF5192" w:rsidRPr="00080C9F" w:rsidRDefault="00AF5192" w:rsidP="00AF5192">
            <w:pPr>
              <w:pStyle w:val="Prrafodelista"/>
              <w:numPr>
                <w:ilvl w:val="0"/>
                <w:numId w:val="12"/>
              </w:numPr>
              <w:spacing w:before="34" w:line="276" w:lineRule="auto"/>
              <w:rPr>
                <w:rFonts w:ascii="Arial" w:eastAsia="Arial" w:hAnsi="Arial" w:cs="Arial"/>
                <w:color w:val="030303"/>
                <w:spacing w:val="2"/>
                <w:sz w:val="22"/>
              </w:rPr>
            </w:pPr>
            <w:r w:rsidRPr="00080C9F">
              <w:rPr>
                <w:rFonts w:ascii="Arial" w:eastAsia="Arial" w:hAnsi="Arial" w:cs="Arial"/>
                <w:color w:val="030303"/>
                <w:spacing w:val="2"/>
              </w:rPr>
              <w:t>Revisar la reducción de horas laborales, si aplican para el sect</w:t>
            </w:r>
            <w:r w:rsidR="00080C9F">
              <w:rPr>
                <w:rFonts w:ascii="Arial" w:eastAsia="Arial" w:hAnsi="Arial" w:cs="Arial"/>
                <w:color w:val="030303"/>
                <w:spacing w:val="2"/>
              </w:rPr>
              <w:t>or privado.</w:t>
            </w:r>
          </w:p>
          <w:p w:rsidR="00080C9F" w:rsidRPr="00080C9F" w:rsidRDefault="00080C9F" w:rsidP="00AF5192">
            <w:pPr>
              <w:pStyle w:val="Prrafodelista"/>
              <w:numPr>
                <w:ilvl w:val="0"/>
                <w:numId w:val="12"/>
              </w:numPr>
              <w:spacing w:before="34" w:line="276" w:lineRule="auto"/>
              <w:rPr>
                <w:rFonts w:ascii="Arial" w:eastAsia="Arial" w:hAnsi="Arial" w:cs="Arial"/>
                <w:color w:val="030303"/>
                <w:spacing w:val="2"/>
                <w:sz w:val="22"/>
              </w:rPr>
            </w:pPr>
            <w:r>
              <w:rPr>
                <w:rFonts w:ascii="Arial" w:eastAsia="Arial" w:hAnsi="Arial" w:cs="Arial"/>
                <w:color w:val="030303"/>
                <w:spacing w:val="2"/>
              </w:rPr>
              <w:t xml:space="preserve">Solicitar a todos los servidores y contratistas de la Personería el porte obligatorio del carnet en un lugar visible. </w:t>
            </w:r>
          </w:p>
          <w:p w:rsidR="00080C9F" w:rsidRPr="00080C9F" w:rsidRDefault="00080C9F" w:rsidP="00080C9F">
            <w:pPr>
              <w:pStyle w:val="Prrafodelista"/>
              <w:spacing w:before="34" w:line="276" w:lineRule="auto"/>
              <w:ind w:left="720"/>
              <w:rPr>
                <w:rFonts w:ascii="Arial" w:eastAsia="Arial" w:hAnsi="Arial" w:cs="Arial"/>
                <w:color w:val="030303"/>
                <w:spacing w:val="2"/>
                <w:sz w:val="22"/>
              </w:rPr>
            </w:pPr>
          </w:p>
          <w:p w:rsidR="00C15974" w:rsidRDefault="00C15974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C15974" w:rsidRPr="001A0273" w:rsidRDefault="00C15974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AD51A4" w:rsidRPr="001A0273" w:rsidRDefault="00AD51A4" w:rsidP="00A87639">
      <w:pPr>
        <w:pStyle w:val="Caracteresenmarcados"/>
        <w:rPr>
          <w:b/>
          <w:lang w:val="es-CO"/>
        </w:rPr>
      </w:pPr>
      <w:r w:rsidRPr="001A0273">
        <w:rPr>
          <w:lang w:val="es-MX" w:eastAsia="es-MX"/>
        </w:rPr>
        <w:lastRenderedPageBreak/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A3" w:rsidRDefault="00CB3AA3" w:rsidP="00C50F77">
      <w:r>
        <w:separator/>
      </w:r>
    </w:p>
  </w:endnote>
  <w:endnote w:type="continuationSeparator" w:id="0">
    <w:p w:rsidR="00CB3AA3" w:rsidRDefault="00CB3AA3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A3" w:rsidRDefault="00CB3AA3" w:rsidP="00C50F77">
      <w:r>
        <w:separator/>
      </w:r>
    </w:p>
  </w:footnote>
  <w:footnote w:type="continuationSeparator" w:id="0">
    <w:p w:rsidR="00CB3AA3" w:rsidRDefault="00CB3AA3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C64"/>
    <w:multiLevelType w:val="hybridMultilevel"/>
    <w:tmpl w:val="C93A73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9417E1"/>
    <w:multiLevelType w:val="hybridMultilevel"/>
    <w:tmpl w:val="789683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3BF3"/>
    <w:multiLevelType w:val="hybridMultilevel"/>
    <w:tmpl w:val="8AB020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77"/>
    <w:rsid w:val="0003656B"/>
    <w:rsid w:val="00036672"/>
    <w:rsid w:val="000407B4"/>
    <w:rsid w:val="000454F9"/>
    <w:rsid w:val="0005711D"/>
    <w:rsid w:val="00080C9F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1184C"/>
    <w:rsid w:val="002343FC"/>
    <w:rsid w:val="00240043"/>
    <w:rsid w:val="00255711"/>
    <w:rsid w:val="00290499"/>
    <w:rsid w:val="00294135"/>
    <w:rsid w:val="00294711"/>
    <w:rsid w:val="002B70B9"/>
    <w:rsid w:val="002D532E"/>
    <w:rsid w:val="002D7C54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807BF"/>
    <w:rsid w:val="007B1580"/>
    <w:rsid w:val="007D69C5"/>
    <w:rsid w:val="007F092F"/>
    <w:rsid w:val="007F7EC0"/>
    <w:rsid w:val="00810D6F"/>
    <w:rsid w:val="00876650"/>
    <w:rsid w:val="00903D7B"/>
    <w:rsid w:val="00935393"/>
    <w:rsid w:val="00983B79"/>
    <w:rsid w:val="009A326D"/>
    <w:rsid w:val="009E160E"/>
    <w:rsid w:val="009F4BE3"/>
    <w:rsid w:val="00A07762"/>
    <w:rsid w:val="00A40113"/>
    <w:rsid w:val="00A87639"/>
    <w:rsid w:val="00AC421C"/>
    <w:rsid w:val="00AD51A4"/>
    <w:rsid w:val="00AD60CD"/>
    <w:rsid w:val="00AD63D1"/>
    <w:rsid w:val="00AF5192"/>
    <w:rsid w:val="00B231BE"/>
    <w:rsid w:val="00B50CA1"/>
    <w:rsid w:val="00B569BF"/>
    <w:rsid w:val="00BB4231"/>
    <w:rsid w:val="00BB44B7"/>
    <w:rsid w:val="00BC1932"/>
    <w:rsid w:val="00BE3AE4"/>
    <w:rsid w:val="00BF0A12"/>
    <w:rsid w:val="00C04646"/>
    <w:rsid w:val="00C15974"/>
    <w:rsid w:val="00C307E4"/>
    <w:rsid w:val="00C4247C"/>
    <w:rsid w:val="00C50F77"/>
    <w:rsid w:val="00C7323B"/>
    <w:rsid w:val="00C903F5"/>
    <w:rsid w:val="00C9555D"/>
    <w:rsid w:val="00CB2C97"/>
    <w:rsid w:val="00CB3AA3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4C241-2D10-4D97-821A-A1491F1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paragraph" w:customStyle="1" w:styleId="Caracteresenmarcados">
    <w:name w:val="Caracteres enmarcados"/>
    <w:basedOn w:val="Normal"/>
    <w:rsid w:val="00A8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7EEC-8465-4983-919D-8CA1D904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Katherine Lopez Roldan</cp:lastModifiedBy>
  <cp:revision>3</cp:revision>
  <cp:lastPrinted>2022-04-27T13:12:00Z</cp:lastPrinted>
  <dcterms:created xsi:type="dcterms:W3CDTF">2023-01-23T21:03:00Z</dcterms:created>
  <dcterms:modified xsi:type="dcterms:W3CDTF">2023-01-24T14:45:00Z</dcterms:modified>
</cp:coreProperties>
</file>