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shd w:val="clear" w:color="auto" w:fill="FFFFFF" w:themeFill="background1"/>
        <w:tblCellMar>
          <w:left w:w="10" w:type="dxa"/>
          <w:right w:w="10" w:type="dxa"/>
        </w:tblCellMar>
        <w:tblLook w:val="0000"/>
      </w:tblPr>
      <w:tblGrid>
        <w:gridCol w:w="2670"/>
        <w:gridCol w:w="2126"/>
        <w:gridCol w:w="2268"/>
        <w:gridCol w:w="3001"/>
      </w:tblGrid>
      <w:tr w:rsidR="009F5CA2" w:rsidRPr="00494126" w:rsidTr="009F5CA2">
        <w:trPr>
          <w:trHeight w:val="560"/>
        </w:trPr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9F5CA2" w:rsidRPr="00494126" w:rsidRDefault="009F5CA2" w:rsidP="00C5195A">
            <w:pPr>
              <w:jc w:val="center"/>
              <w:rPr>
                <w:szCs w:val="24"/>
              </w:rPr>
            </w:pPr>
            <w:bookmarkStart w:id="0" w:name="_GoBack"/>
            <w:bookmarkEnd w:id="0"/>
            <w:r w:rsidRPr="00494126">
              <w:rPr>
                <w:rFonts w:eastAsia="Arial" w:cs="Arial"/>
                <w:b/>
                <w:szCs w:val="24"/>
              </w:rPr>
              <w:t>TEMA</w:t>
            </w:r>
          </w:p>
        </w:tc>
        <w:tc>
          <w:tcPr>
            <w:tcW w:w="5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CA2" w:rsidRPr="00494126" w:rsidRDefault="00556780" w:rsidP="00C5195A">
            <w:pPr>
              <w:jc w:val="left"/>
              <w:rPr>
                <w:szCs w:val="24"/>
              </w:rPr>
            </w:pPr>
            <w:r w:rsidRPr="00494126">
              <w:rPr>
                <w:szCs w:val="24"/>
              </w:rPr>
              <w:t xml:space="preserve">Informe ejecutivo anual del avance del ITA-Vigencia </w:t>
            </w:r>
            <w:r w:rsidR="00494126">
              <w:rPr>
                <w:szCs w:val="24"/>
              </w:rPr>
              <w:t>-</w:t>
            </w:r>
            <w:r w:rsidRPr="00494126">
              <w:rPr>
                <w:szCs w:val="24"/>
              </w:rPr>
              <w:t>2023</w:t>
            </w:r>
          </w:p>
        </w:tc>
      </w:tr>
      <w:tr w:rsidR="00CC5858" w:rsidRPr="00494126" w:rsidTr="009F5CA2"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A09B0" w:rsidRPr="00494126" w:rsidRDefault="007A09B0" w:rsidP="00C5195A">
            <w:pPr>
              <w:jc w:val="center"/>
              <w:rPr>
                <w:szCs w:val="24"/>
              </w:rPr>
            </w:pPr>
            <w:r w:rsidRPr="00494126">
              <w:rPr>
                <w:rFonts w:eastAsia="Arial" w:cs="Arial"/>
                <w:szCs w:val="24"/>
              </w:rPr>
              <w:t>JEFE DE CONTROL INTERNO O QUIEN HACE SUS VECES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A09B0" w:rsidRPr="00494126" w:rsidRDefault="00556780" w:rsidP="00C5195A">
            <w:pPr>
              <w:jc w:val="center"/>
              <w:rPr>
                <w:szCs w:val="24"/>
              </w:rPr>
            </w:pPr>
            <w:r w:rsidRPr="00494126">
              <w:rPr>
                <w:szCs w:val="24"/>
              </w:rPr>
              <w:t>Arley de Jesús Ramírez Patiño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A09B0" w:rsidRPr="00494126" w:rsidRDefault="007A09B0" w:rsidP="00C5195A">
            <w:pPr>
              <w:jc w:val="center"/>
              <w:rPr>
                <w:szCs w:val="24"/>
              </w:rPr>
            </w:pPr>
            <w:r w:rsidRPr="00494126">
              <w:rPr>
                <w:rFonts w:eastAsia="Arial" w:cs="Arial"/>
                <w:szCs w:val="24"/>
              </w:rPr>
              <w:t>PERIODO EVALUADO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A09B0" w:rsidRPr="00494126" w:rsidRDefault="00556780" w:rsidP="00C5195A">
            <w:pPr>
              <w:jc w:val="center"/>
              <w:rPr>
                <w:szCs w:val="24"/>
              </w:rPr>
            </w:pPr>
            <w:r w:rsidRPr="00494126">
              <w:rPr>
                <w:szCs w:val="24"/>
              </w:rPr>
              <w:t>Año 2023</w:t>
            </w:r>
          </w:p>
        </w:tc>
      </w:tr>
      <w:tr w:rsidR="00CC5858" w:rsidRPr="00494126" w:rsidTr="009F5CA2"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A09B0" w:rsidRPr="00494126" w:rsidRDefault="007A09B0" w:rsidP="00C5195A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A09B0" w:rsidRPr="00494126" w:rsidRDefault="007A09B0" w:rsidP="00C5195A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A09B0" w:rsidRPr="00494126" w:rsidRDefault="007A09B0" w:rsidP="00C5195A">
            <w:pPr>
              <w:jc w:val="center"/>
              <w:rPr>
                <w:szCs w:val="24"/>
              </w:rPr>
            </w:pPr>
            <w:r w:rsidRPr="00494126">
              <w:rPr>
                <w:rFonts w:eastAsia="Arial" w:cs="Arial"/>
                <w:szCs w:val="24"/>
              </w:rPr>
              <w:t>FECHA DE ELABORACIÓN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A09B0" w:rsidRPr="00494126" w:rsidRDefault="00556780" w:rsidP="00C5195A">
            <w:pPr>
              <w:jc w:val="center"/>
              <w:rPr>
                <w:szCs w:val="24"/>
              </w:rPr>
            </w:pPr>
            <w:r w:rsidRPr="00494126">
              <w:rPr>
                <w:szCs w:val="24"/>
              </w:rPr>
              <w:t>26/09/2024</w:t>
            </w:r>
          </w:p>
        </w:tc>
      </w:tr>
    </w:tbl>
    <w:p w:rsidR="006418EA" w:rsidRDefault="006418EA" w:rsidP="006418EA">
      <w:pPr>
        <w:rPr>
          <w:rFonts w:cs="Arial"/>
          <w:szCs w:val="24"/>
          <w:lang w:val="es-ES_tradnl" w:eastAsia="es-CO"/>
        </w:rPr>
      </w:pPr>
    </w:p>
    <w:p w:rsidR="006418EA" w:rsidRPr="00494126" w:rsidRDefault="006418EA" w:rsidP="006418EA">
      <w:pPr>
        <w:rPr>
          <w:rFonts w:cs="Arial"/>
          <w:szCs w:val="24"/>
          <w:lang w:val="es-ES_tradnl" w:eastAsia="es-CO"/>
        </w:rPr>
      </w:pPr>
      <w:r w:rsidRPr="00494126">
        <w:rPr>
          <w:rFonts w:cs="Arial"/>
          <w:szCs w:val="24"/>
          <w:lang w:val="es-ES_tradnl" w:eastAsia="es-CO"/>
        </w:rPr>
        <w:t>Cód. 101</w:t>
      </w:r>
    </w:p>
    <w:p w:rsidR="006418EA" w:rsidRDefault="006418EA" w:rsidP="006418EA">
      <w:pPr>
        <w:rPr>
          <w:szCs w:val="24"/>
        </w:rPr>
      </w:pPr>
    </w:p>
    <w:p w:rsidR="006418EA" w:rsidRPr="00494126" w:rsidRDefault="006418EA" w:rsidP="006418EA">
      <w:pPr>
        <w:rPr>
          <w:szCs w:val="24"/>
        </w:rPr>
      </w:pPr>
      <w:r w:rsidRPr="00494126">
        <w:rPr>
          <w:szCs w:val="24"/>
        </w:rPr>
        <w:t>Asunto: Informe ejecutivo anual del avance del ITA</w:t>
      </w:r>
      <w:r>
        <w:rPr>
          <w:szCs w:val="24"/>
        </w:rPr>
        <w:t xml:space="preserve"> Índice de &gt;Transparencia y acceso a la Información Pública</w:t>
      </w:r>
      <w:r w:rsidRPr="00494126">
        <w:rPr>
          <w:szCs w:val="24"/>
        </w:rPr>
        <w:t xml:space="preserve"> (</w:t>
      </w:r>
      <w:r w:rsidR="006812C7">
        <w:rPr>
          <w:szCs w:val="24"/>
        </w:rPr>
        <w:t xml:space="preserve">Resultado </w:t>
      </w:r>
      <w:r w:rsidRPr="00494126">
        <w:rPr>
          <w:szCs w:val="24"/>
        </w:rPr>
        <w:t>diligenciamiento de la encues</w:t>
      </w:r>
      <w:r w:rsidR="00AE42D0">
        <w:rPr>
          <w:szCs w:val="24"/>
        </w:rPr>
        <w:t>ta en línea), vigencia – 2023. Año 2024</w:t>
      </w:r>
    </w:p>
    <w:p w:rsidR="006418EA" w:rsidRDefault="006418EA" w:rsidP="006418EA">
      <w:pPr>
        <w:rPr>
          <w:rStyle w:val="nfasis"/>
          <w:rFonts w:cs="Arial"/>
          <w:bCs/>
          <w:color w:val="333333"/>
          <w:szCs w:val="24"/>
          <w:shd w:val="clear" w:color="auto" w:fill="FFFFFF"/>
        </w:rPr>
      </w:pPr>
    </w:p>
    <w:p w:rsidR="006418EA" w:rsidRPr="00494126" w:rsidRDefault="006418EA" w:rsidP="006418EA">
      <w:pPr>
        <w:rPr>
          <w:szCs w:val="24"/>
        </w:rPr>
      </w:pPr>
      <w:r w:rsidRPr="00047344">
        <w:rPr>
          <w:rStyle w:val="nfasis"/>
          <w:rFonts w:cs="Arial"/>
          <w:bCs/>
          <w:color w:val="333333"/>
          <w:szCs w:val="24"/>
          <w:shd w:val="clear" w:color="auto" w:fill="FFFFFF"/>
        </w:rPr>
        <w:t>Objeto.</w:t>
      </w:r>
      <w:r>
        <w:rPr>
          <w:rFonts w:cs="Arial"/>
          <w:color w:val="333333"/>
          <w:szCs w:val="24"/>
          <w:shd w:val="clear" w:color="auto" w:fill="FFFFFF"/>
        </w:rPr>
        <w:t xml:space="preserve"> </w:t>
      </w:r>
      <w:r w:rsidRPr="00494126">
        <w:rPr>
          <w:szCs w:val="24"/>
        </w:rPr>
        <w:t xml:space="preserve">Con la expedición de la Ley 1712 de 2014 “Por medio de la cual se </w:t>
      </w:r>
      <w:r>
        <w:rPr>
          <w:szCs w:val="24"/>
        </w:rPr>
        <w:t xml:space="preserve">crea la Ley de Transparencia y </w:t>
      </w:r>
      <w:r w:rsidRPr="00494126">
        <w:rPr>
          <w:szCs w:val="24"/>
        </w:rPr>
        <w:t>el Derecho</w:t>
      </w:r>
      <w:r>
        <w:rPr>
          <w:szCs w:val="24"/>
        </w:rPr>
        <w:t xml:space="preserve"> fundamental</w:t>
      </w:r>
      <w:r w:rsidRPr="00494126">
        <w:rPr>
          <w:szCs w:val="24"/>
        </w:rPr>
        <w:t xml:space="preserve"> de Acceso a la Información Pública Nacional.</w:t>
      </w:r>
      <w:r>
        <w:rPr>
          <w:szCs w:val="24"/>
        </w:rPr>
        <w:t xml:space="preserve"> </w:t>
      </w:r>
      <w:r w:rsidRPr="00494126">
        <w:rPr>
          <w:rFonts w:cs="Arial"/>
          <w:color w:val="333333"/>
          <w:szCs w:val="24"/>
          <w:shd w:val="clear" w:color="auto" w:fill="FFFFFF"/>
        </w:rPr>
        <w:t>El objeto de la presente ley es regular el derecho de acceso a la información pública, los procedimientos para el ejercicio y garantía</w:t>
      </w:r>
      <w:r>
        <w:rPr>
          <w:rFonts w:cs="Arial"/>
          <w:color w:val="333333"/>
          <w:szCs w:val="24"/>
          <w:shd w:val="clear" w:color="auto" w:fill="FFFFFF"/>
        </w:rPr>
        <w:t>s</w:t>
      </w:r>
      <w:r w:rsidRPr="00494126">
        <w:rPr>
          <w:rFonts w:cs="Arial"/>
          <w:color w:val="333333"/>
          <w:szCs w:val="24"/>
          <w:shd w:val="clear" w:color="auto" w:fill="FFFFFF"/>
        </w:rPr>
        <w:t xml:space="preserve"> del derecho y las excepciones</w:t>
      </w:r>
      <w:r>
        <w:rPr>
          <w:rFonts w:cs="Arial"/>
          <w:color w:val="333333"/>
          <w:szCs w:val="24"/>
          <w:shd w:val="clear" w:color="auto" w:fill="FFFFFF"/>
        </w:rPr>
        <w:t xml:space="preserve"> de reservas de Ley</w:t>
      </w:r>
      <w:r w:rsidRPr="00494126">
        <w:rPr>
          <w:rFonts w:cs="Arial"/>
          <w:color w:val="333333"/>
          <w:szCs w:val="24"/>
          <w:shd w:val="clear" w:color="auto" w:fill="FFFFFF"/>
        </w:rPr>
        <w:t xml:space="preserve"> a la publicidad de información. </w:t>
      </w:r>
      <w:r w:rsidRPr="00494126">
        <w:rPr>
          <w:szCs w:val="24"/>
        </w:rPr>
        <w:t>El Articulo 4 de la ley 1712 de 2014 establece que el acceso a la información pública es un derecho fundamental, que tienen todas las personas para conocer la existencia y acceder a la información pública, en posesión o bajo el control de los sujetos obligados y solo puede ser restringido excepcionalmente.</w:t>
      </w:r>
    </w:p>
    <w:p w:rsidR="006418EA" w:rsidRPr="00494126" w:rsidRDefault="006418EA" w:rsidP="006418EA">
      <w:pPr>
        <w:rPr>
          <w:szCs w:val="24"/>
        </w:rPr>
      </w:pPr>
    </w:p>
    <w:p w:rsidR="006418EA" w:rsidRPr="00494126" w:rsidRDefault="006418EA" w:rsidP="006418EA">
      <w:pPr>
        <w:rPr>
          <w:rFonts w:cs="Arial"/>
          <w:color w:val="333333"/>
          <w:szCs w:val="24"/>
          <w:shd w:val="clear" w:color="auto" w:fill="FFFFFF"/>
        </w:rPr>
      </w:pPr>
      <w:r w:rsidRPr="00494126">
        <w:rPr>
          <w:szCs w:val="24"/>
        </w:rPr>
        <w:t xml:space="preserve"> “</w:t>
      </w:r>
      <w:r w:rsidRPr="00494126">
        <w:rPr>
          <w:rStyle w:val="nfasis"/>
          <w:rFonts w:cs="Arial"/>
          <w:b/>
          <w:bCs/>
          <w:color w:val="333333"/>
          <w:szCs w:val="24"/>
          <w:shd w:val="clear" w:color="auto" w:fill="FFFFFF"/>
        </w:rPr>
        <w:t>Disponibilidad de la Información.</w:t>
      </w:r>
      <w:r>
        <w:rPr>
          <w:rFonts w:cs="Arial"/>
          <w:color w:val="333333"/>
          <w:szCs w:val="24"/>
          <w:shd w:val="clear" w:color="auto" w:fill="FFFFFF"/>
        </w:rPr>
        <w:t xml:space="preserve"> </w:t>
      </w:r>
      <w:r w:rsidRPr="00494126">
        <w:rPr>
          <w:rFonts w:cs="Arial"/>
          <w:color w:val="333333"/>
          <w:szCs w:val="24"/>
          <w:shd w:val="clear" w:color="auto" w:fill="FFFFFF"/>
        </w:rPr>
        <w:t>En virtud de los principios señalados en el artículo 3 de la presente ley, la información deberá es</w:t>
      </w:r>
      <w:r>
        <w:rPr>
          <w:rFonts w:cs="Arial"/>
          <w:color w:val="333333"/>
          <w:szCs w:val="24"/>
          <w:shd w:val="clear" w:color="auto" w:fill="FFFFFF"/>
        </w:rPr>
        <w:t>tar a disposición del público,</w:t>
      </w:r>
      <w:r w:rsidRPr="00494126">
        <w:rPr>
          <w:rFonts w:cs="Arial"/>
          <w:color w:val="333333"/>
          <w:szCs w:val="24"/>
          <w:shd w:val="clear" w:color="auto" w:fill="FFFFFF"/>
        </w:rPr>
        <w:t xml:space="preserve"> información a la que hace referencia la presente </w:t>
      </w:r>
      <w:r>
        <w:rPr>
          <w:rFonts w:cs="Arial"/>
          <w:color w:val="333333"/>
          <w:szCs w:val="24"/>
          <w:shd w:val="clear" w:color="auto" w:fill="FFFFFF"/>
        </w:rPr>
        <w:t xml:space="preserve"> Ley en su a</w:t>
      </w:r>
      <w:r w:rsidRPr="00494126">
        <w:rPr>
          <w:szCs w:val="24"/>
        </w:rPr>
        <w:t>rtículo 7 de la Ley 1712 de 2024</w:t>
      </w:r>
      <w:r w:rsidRPr="00494126">
        <w:rPr>
          <w:rFonts w:cs="Arial"/>
          <w:color w:val="333333"/>
          <w:szCs w:val="24"/>
          <w:shd w:val="clear" w:color="auto" w:fill="FFFFFF"/>
        </w:rPr>
        <w:t xml:space="preserve">, a través de medios físicos, remotos o </w:t>
      </w:r>
      <w:r>
        <w:rPr>
          <w:rFonts w:cs="Arial"/>
          <w:color w:val="333333"/>
          <w:szCs w:val="24"/>
          <w:shd w:val="clear" w:color="auto" w:fill="FFFFFF"/>
        </w:rPr>
        <w:t>canales</w:t>
      </w:r>
      <w:r w:rsidRPr="00494126">
        <w:rPr>
          <w:rFonts w:cs="Arial"/>
          <w:color w:val="333333"/>
          <w:szCs w:val="24"/>
          <w:shd w:val="clear" w:color="auto" w:fill="FFFFFF"/>
        </w:rPr>
        <w:t xml:space="preserve"> de comunicación electrónica. Los sujetos obligados deberán tener a disposición de las personas interesadas dicha información en la Web, portal único sede electrónica establecido por la </w:t>
      </w:r>
      <w:r>
        <w:rPr>
          <w:rFonts w:cs="Arial"/>
          <w:color w:val="333333"/>
          <w:szCs w:val="24"/>
          <w:shd w:val="clear" w:color="auto" w:fill="FFFFFF"/>
        </w:rPr>
        <w:t>entidad</w:t>
      </w:r>
      <w:r w:rsidRPr="00494126">
        <w:rPr>
          <w:rFonts w:cs="Arial"/>
          <w:color w:val="333333"/>
          <w:szCs w:val="24"/>
          <w:shd w:val="clear" w:color="auto" w:fill="FFFFFF"/>
        </w:rPr>
        <w:t>,</w:t>
      </w:r>
      <w:r>
        <w:rPr>
          <w:rFonts w:cs="Arial"/>
          <w:color w:val="333333"/>
          <w:szCs w:val="24"/>
          <w:shd w:val="clear" w:color="auto" w:fill="FFFFFF"/>
        </w:rPr>
        <w:t xml:space="preserve"> La Personería de Itagüí estableció su sede electrónica oficial </w:t>
      </w:r>
      <w:r w:rsidRPr="00494126">
        <w:rPr>
          <w:rFonts w:cs="Arial"/>
          <w:color w:val="333333"/>
          <w:szCs w:val="24"/>
          <w:shd w:val="clear" w:color="auto" w:fill="FFFFFF"/>
        </w:rPr>
        <w:t xml:space="preserve"> a la cual se puede acceder en el siguiente LINK: </w:t>
      </w:r>
      <w:hyperlink r:id="rId7" w:history="1">
        <w:r w:rsidRPr="00494126">
          <w:rPr>
            <w:rStyle w:val="Hipervnculo"/>
            <w:rFonts w:cs="Arial"/>
            <w:szCs w:val="24"/>
            <w:shd w:val="clear" w:color="auto" w:fill="FFFFFF"/>
          </w:rPr>
          <w:t>https://personeriaitagui.gov.co/</w:t>
        </w:r>
      </w:hyperlink>
      <w:r w:rsidRPr="00494126">
        <w:rPr>
          <w:rFonts w:cs="Arial"/>
          <w:color w:val="333333"/>
          <w:szCs w:val="24"/>
          <w:shd w:val="clear" w:color="auto" w:fill="FFFFFF"/>
        </w:rPr>
        <w:t xml:space="preserve"> , a fin de que estas puedan obtener la información, de manera directa. Asimismo, los usuarios que requieran información de todo tipo de asistencia respecto de los trámites y servicios que se presten en la Personería Municipal de Itagüí.</w:t>
      </w:r>
    </w:p>
    <w:p w:rsidR="006418EA" w:rsidRPr="00494126" w:rsidRDefault="006418EA" w:rsidP="006418EA">
      <w:pPr>
        <w:rPr>
          <w:szCs w:val="24"/>
        </w:rPr>
      </w:pPr>
    </w:p>
    <w:p w:rsidR="006418EA" w:rsidRPr="00494126" w:rsidRDefault="006418EA" w:rsidP="006418EA">
      <w:pPr>
        <w:rPr>
          <w:szCs w:val="24"/>
        </w:rPr>
      </w:pPr>
      <w:r w:rsidRPr="00494126">
        <w:rPr>
          <w:rFonts w:cs="Arial"/>
          <w:color w:val="333333"/>
          <w:szCs w:val="24"/>
          <w:shd w:val="clear" w:color="auto" w:fill="FFFFFF"/>
        </w:rPr>
        <w:t>El Ministerio Público será el encargado de velar por el adecuado cumplimiento de las obliga</w:t>
      </w:r>
      <w:r w:rsidRPr="00494126">
        <w:rPr>
          <w:rFonts w:cs="Arial"/>
          <w:color w:val="333333"/>
          <w:szCs w:val="24"/>
          <w:shd w:val="clear" w:color="auto" w:fill="FFFFFF"/>
        </w:rPr>
        <w:softHyphen/>
        <w:t>ciones estipuladas en la presente ley.</w:t>
      </w:r>
      <w:r w:rsidRPr="00494126">
        <w:rPr>
          <w:szCs w:val="24"/>
        </w:rPr>
        <w:t xml:space="preserve"> La Procuraduría en ejercicio de sus funciones constitucionales y legales expidió la  directiva 011 del 01 de agosto de 2023, que las entidades públicas en todos sus niveles de la estructura estatal, </w:t>
      </w:r>
      <w:r>
        <w:rPr>
          <w:szCs w:val="24"/>
        </w:rPr>
        <w:t xml:space="preserve">estableció </w:t>
      </w:r>
      <w:r w:rsidRPr="00494126">
        <w:rPr>
          <w:szCs w:val="24"/>
        </w:rPr>
        <w:t>el diligenciamiento de la información en el índice de transparencia y acceso a la información pública ITA de conformidad con el Articulo 23 de la Ley 1712 de 2014, la procuraduría general de la Nación,</w:t>
      </w:r>
      <w:r>
        <w:rPr>
          <w:szCs w:val="24"/>
        </w:rPr>
        <w:t xml:space="preserve"> </w:t>
      </w:r>
      <w:r w:rsidRPr="00494126">
        <w:rPr>
          <w:szCs w:val="24"/>
        </w:rPr>
        <w:t xml:space="preserve">por medio de la aplicación </w:t>
      </w:r>
      <w:r>
        <w:rPr>
          <w:szCs w:val="24"/>
        </w:rPr>
        <w:t xml:space="preserve">en cuesta en  línea </w:t>
      </w:r>
      <w:r w:rsidRPr="00494126">
        <w:rPr>
          <w:szCs w:val="24"/>
        </w:rPr>
        <w:t>de</w:t>
      </w:r>
      <w:r>
        <w:rPr>
          <w:szCs w:val="24"/>
        </w:rPr>
        <w:t xml:space="preserve"> MINTIC, como</w:t>
      </w:r>
      <w:r w:rsidRPr="00494126">
        <w:rPr>
          <w:szCs w:val="24"/>
        </w:rPr>
        <w:t xml:space="preserve"> herramienta</w:t>
      </w:r>
      <w:r>
        <w:rPr>
          <w:szCs w:val="24"/>
        </w:rPr>
        <w:t xml:space="preserve">, </w:t>
      </w:r>
      <w:r w:rsidRPr="00494126">
        <w:rPr>
          <w:szCs w:val="24"/>
        </w:rPr>
        <w:t>o mecanismo de vigilancia y garantía de cumplimiento de la Ley 1712 de 2014.</w:t>
      </w:r>
    </w:p>
    <w:p w:rsidR="006418EA" w:rsidRPr="00494126" w:rsidRDefault="006418EA" w:rsidP="006418EA">
      <w:pPr>
        <w:rPr>
          <w:szCs w:val="24"/>
        </w:rPr>
      </w:pPr>
    </w:p>
    <w:p w:rsidR="006418EA" w:rsidRPr="00494126" w:rsidRDefault="006418EA" w:rsidP="006418EA">
      <w:pPr>
        <w:rPr>
          <w:szCs w:val="24"/>
        </w:rPr>
      </w:pPr>
      <w:r>
        <w:rPr>
          <w:szCs w:val="24"/>
        </w:rPr>
        <w:t xml:space="preserve">La Personería Municipal de Itagüí </w:t>
      </w:r>
      <w:r w:rsidRPr="006A601F">
        <w:rPr>
          <w:szCs w:val="24"/>
        </w:rPr>
        <w:t>de los Sujetos Obligados en la Ley 1712 de 2014</w:t>
      </w:r>
      <w:r>
        <w:rPr>
          <w:szCs w:val="24"/>
        </w:rPr>
        <w:t xml:space="preserve"> en cumplimiento</w:t>
      </w:r>
      <w:r>
        <w:t xml:space="preserve">  de </w:t>
      </w:r>
      <w:r w:rsidRPr="00D54FD7">
        <w:rPr>
          <w:szCs w:val="24"/>
        </w:rPr>
        <w:t>Reporte de ITA para el Periodo 2024</w:t>
      </w:r>
      <w:r>
        <w:rPr>
          <w:szCs w:val="24"/>
        </w:rPr>
        <w:t>, Según a</w:t>
      </w:r>
      <w:r w:rsidRPr="00D54FD7">
        <w:rPr>
          <w:szCs w:val="24"/>
        </w:rPr>
        <w:t xml:space="preserve">nexo técnico 2 -Resolución </w:t>
      </w:r>
      <w:r w:rsidRPr="00D54FD7">
        <w:rPr>
          <w:szCs w:val="24"/>
        </w:rPr>
        <w:lastRenderedPageBreak/>
        <w:t>1519 de 2020.</w:t>
      </w:r>
      <w:r>
        <w:rPr>
          <w:szCs w:val="24"/>
        </w:rPr>
        <w:t xml:space="preserve"> </w:t>
      </w:r>
      <w:r w:rsidR="00B449B6">
        <w:rPr>
          <w:szCs w:val="24"/>
        </w:rPr>
        <w:t>Resultado</w:t>
      </w:r>
      <w:r>
        <w:rPr>
          <w:szCs w:val="24"/>
        </w:rPr>
        <w:t xml:space="preserve"> del Sistema de Información para el registro, seguimiento, monitoreo y g</w:t>
      </w:r>
      <w:r w:rsidRPr="006A601F">
        <w:rPr>
          <w:szCs w:val="24"/>
        </w:rPr>
        <w:t xml:space="preserve">eneración </w:t>
      </w:r>
      <w:r>
        <w:rPr>
          <w:szCs w:val="24"/>
        </w:rPr>
        <w:t>presenta un</w:t>
      </w:r>
      <w:r w:rsidRPr="006A601F">
        <w:rPr>
          <w:szCs w:val="24"/>
        </w:rPr>
        <w:t xml:space="preserve"> Índice de Cumplimiento (ITA)</w:t>
      </w:r>
      <w:r>
        <w:rPr>
          <w:szCs w:val="24"/>
        </w:rPr>
        <w:t xml:space="preserve">, </w:t>
      </w:r>
      <w:r w:rsidRPr="00D54FD7">
        <w:rPr>
          <w:b/>
          <w:szCs w:val="24"/>
        </w:rPr>
        <w:t>Nivel de Cumplimiento 92/100 Puntos</w:t>
      </w:r>
    </w:p>
    <w:p w:rsidR="006418EA" w:rsidRPr="00494126" w:rsidRDefault="006418EA" w:rsidP="006418EA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112"/>
        <w:gridCol w:w="2112"/>
        <w:gridCol w:w="3869"/>
        <w:gridCol w:w="2112"/>
      </w:tblGrid>
      <w:tr w:rsidR="006418EA" w:rsidRPr="00A516F2" w:rsidTr="00AA36A1">
        <w:trPr>
          <w:trHeight w:val="375"/>
        </w:trPr>
        <w:tc>
          <w:tcPr>
            <w:tcW w:w="5000" w:type="pct"/>
            <w:gridSpan w:val="4"/>
            <w:shd w:val="clear" w:color="auto" w:fill="auto"/>
            <w:vAlign w:val="bottom"/>
            <w:hideMark/>
          </w:tcPr>
          <w:p w:rsidR="006418EA" w:rsidRPr="00A516F2" w:rsidRDefault="006418EA" w:rsidP="00AA36A1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516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Reporte de Cumplimiento ITA para el Periodo 2024</w:t>
            </w:r>
            <w:r w:rsidRPr="00A516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Anexo técnico 2 -Resolución 1519 de 2020.</w:t>
            </w:r>
          </w:p>
        </w:tc>
      </w:tr>
      <w:tr w:rsidR="006418EA" w:rsidRPr="00A516F2" w:rsidTr="00AA36A1">
        <w:trPr>
          <w:trHeight w:val="300"/>
        </w:trPr>
        <w:tc>
          <w:tcPr>
            <w:tcW w:w="1250" w:type="pct"/>
            <w:shd w:val="clear" w:color="auto" w:fill="auto"/>
            <w:hideMark/>
          </w:tcPr>
          <w:p w:rsidR="006418EA" w:rsidRPr="00A516F2" w:rsidRDefault="006418EA" w:rsidP="00AA36A1">
            <w:pPr>
              <w:jc w:val="left"/>
              <w:rPr>
                <w:rFonts w:ascii="Calibri" w:hAnsi="Calibri" w:cs="Calibri"/>
                <w:szCs w:val="22"/>
              </w:rPr>
            </w:pPr>
            <w:r w:rsidRPr="00A516F2">
              <w:rPr>
                <w:rFonts w:ascii="Calibri" w:hAnsi="Calibri" w:cs="Calibri"/>
                <w:sz w:val="22"/>
                <w:szCs w:val="22"/>
              </w:rPr>
              <w:t>NI 890980093</w:t>
            </w:r>
          </w:p>
        </w:tc>
        <w:tc>
          <w:tcPr>
            <w:tcW w:w="1250" w:type="pct"/>
            <w:shd w:val="clear" w:color="auto" w:fill="auto"/>
            <w:hideMark/>
          </w:tcPr>
          <w:p w:rsidR="006418EA" w:rsidRPr="00A516F2" w:rsidRDefault="006418EA" w:rsidP="00AA36A1">
            <w:pPr>
              <w:jc w:val="left"/>
              <w:rPr>
                <w:rFonts w:ascii="Calibri" w:hAnsi="Calibri" w:cs="Calibri"/>
                <w:szCs w:val="22"/>
              </w:rPr>
            </w:pPr>
            <w:r w:rsidRPr="00A516F2">
              <w:rPr>
                <w:rFonts w:ascii="Calibri" w:hAnsi="Calibri" w:cs="Calibri"/>
                <w:sz w:val="22"/>
                <w:szCs w:val="22"/>
              </w:rPr>
              <w:t>PERSONERIA MUNICIPAL DE ITAGUI ANTIOQUIA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:rsidR="006418EA" w:rsidRPr="00A516F2" w:rsidRDefault="006418EA" w:rsidP="00AA36A1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:rsidR="006418EA" w:rsidRPr="00A516F2" w:rsidRDefault="006418EA" w:rsidP="00AA36A1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6418EA" w:rsidRPr="00A516F2" w:rsidTr="00AA36A1">
        <w:trPr>
          <w:trHeight w:val="600"/>
        </w:trPr>
        <w:tc>
          <w:tcPr>
            <w:tcW w:w="1250" w:type="pct"/>
            <w:shd w:val="clear" w:color="auto" w:fill="auto"/>
            <w:hideMark/>
          </w:tcPr>
          <w:p w:rsidR="006418EA" w:rsidRPr="00A516F2" w:rsidRDefault="006418EA" w:rsidP="00AA36A1">
            <w:pPr>
              <w:jc w:val="left"/>
              <w:rPr>
                <w:rFonts w:ascii="Calibri" w:hAnsi="Calibri" w:cs="Calibri"/>
                <w:szCs w:val="22"/>
              </w:rPr>
            </w:pPr>
            <w:r w:rsidRPr="00A516F2">
              <w:rPr>
                <w:rFonts w:ascii="Calibri" w:hAnsi="Calibri" w:cs="Calibri"/>
                <w:sz w:val="22"/>
                <w:szCs w:val="22"/>
              </w:rPr>
              <w:t>Nivel de cumplimiento: 92 sobre 100 puntos</w:t>
            </w:r>
          </w:p>
        </w:tc>
        <w:tc>
          <w:tcPr>
            <w:tcW w:w="1250" w:type="pct"/>
            <w:shd w:val="clear" w:color="auto" w:fill="auto"/>
            <w:hideMark/>
          </w:tcPr>
          <w:p w:rsidR="006418EA" w:rsidRPr="00A516F2" w:rsidRDefault="006418EA" w:rsidP="00AA36A1">
            <w:pPr>
              <w:jc w:val="left"/>
              <w:rPr>
                <w:rFonts w:ascii="Calibri" w:hAnsi="Calibri" w:cs="Calibri"/>
                <w:szCs w:val="22"/>
              </w:rPr>
            </w:pPr>
            <w:r w:rsidRPr="00A516F2">
              <w:rPr>
                <w:rFonts w:ascii="Calibri" w:hAnsi="Calibri" w:cs="Calibri"/>
                <w:sz w:val="22"/>
                <w:szCs w:val="22"/>
              </w:rPr>
              <w:t>Fecha de generación: 30/07/2024 02:53 PM</w:t>
            </w:r>
          </w:p>
        </w:tc>
        <w:tc>
          <w:tcPr>
            <w:tcW w:w="1250" w:type="pct"/>
            <w:shd w:val="clear" w:color="auto" w:fill="auto"/>
            <w:hideMark/>
          </w:tcPr>
          <w:p w:rsidR="006418EA" w:rsidRPr="00A516F2" w:rsidRDefault="006418EA" w:rsidP="00AA36A1">
            <w:pPr>
              <w:jc w:val="left"/>
              <w:rPr>
                <w:rFonts w:ascii="Calibri" w:hAnsi="Calibri" w:cs="Calibri"/>
                <w:szCs w:val="22"/>
              </w:rPr>
            </w:pPr>
            <w:r w:rsidRPr="00A516F2">
              <w:rPr>
                <w:rFonts w:ascii="Calibri" w:hAnsi="Calibri" w:cs="Calibri"/>
                <w:sz w:val="22"/>
                <w:szCs w:val="22"/>
              </w:rPr>
              <w:t>Arley de Jesús Ramírez Patiño (controlinterno@personeriaitagui.gov.co)</w:t>
            </w:r>
          </w:p>
        </w:tc>
        <w:tc>
          <w:tcPr>
            <w:tcW w:w="1250" w:type="pct"/>
            <w:shd w:val="clear" w:color="auto" w:fill="auto"/>
            <w:hideMark/>
          </w:tcPr>
          <w:p w:rsidR="006418EA" w:rsidRPr="00A516F2" w:rsidRDefault="006418EA" w:rsidP="00AA36A1">
            <w:pPr>
              <w:jc w:val="left"/>
              <w:rPr>
                <w:rFonts w:ascii="Calibri" w:hAnsi="Calibri" w:cs="Calibri"/>
                <w:szCs w:val="22"/>
              </w:rPr>
            </w:pPr>
            <w:r w:rsidRPr="00A516F2">
              <w:rPr>
                <w:rFonts w:ascii="Calibri" w:hAnsi="Calibri" w:cs="Calibri"/>
                <w:sz w:val="22"/>
                <w:szCs w:val="22"/>
              </w:rPr>
              <w:t>Tipo de formulario: MinTIC Res.1519</w:t>
            </w:r>
          </w:p>
        </w:tc>
      </w:tr>
    </w:tbl>
    <w:p w:rsidR="006418EA" w:rsidRPr="00A516F2" w:rsidRDefault="006418EA" w:rsidP="006418EA">
      <w:pPr>
        <w:rPr>
          <w:sz w:val="16"/>
          <w:szCs w:val="16"/>
        </w:rPr>
      </w:pPr>
      <w:r w:rsidRPr="00A516F2">
        <w:rPr>
          <w:sz w:val="16"/>
          <w:szCs w:val="16"/>
        </w:rPr>
        <w:t>Fuente: Resultados- Reporte de Cumplimiento ITA para el Periodo 2024</w:t>
      </w:r>
    </w:p>
    <w:p w:rsidR="006418EA" w:rsidRPr="00494126" w:rsidRDefault="006418EA" w:rsidP="006418EA">
      <w:pPr>
        <w:rPr>
          <w:szCs w:val="24"/>
        </w:rPr>
      </w:pPr>
    </w:p>
    <w:p w:rsidR="006418EA" w:rsidRPr="00494126" w:rsidRDefault="006418EA" w:rsidP="006418EA">
      <w:pPr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4277769" cy="1638300"/>
            <wp:effectExtent l="19050" t="0" r="8481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641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8EA" w:rsidRPr="006A601F" w:rsidRDefault="006418EA" w:rsidP="006418EA">
      <w:pPr>
        <w:rPr>
          <w:sz w:val="16"/>
          <w:szCs w:val="16"/>
        </w:rPr>
      </w:pPr>
      <w:r w:rsidRPr="006A601F">
        <w:rPr>
          <w:sz w:val="16"/>
          <w:szCs w:val="16"/>
        </w:rPr>
        <w:t>Fuente: Sistema de Información para el Registro, Seguimiento, Monitoreo y Generación del Índice de Cumplimiento (ITA) de los Sujetos Obligados en la Ley 1712 de 2014, PERSONERIA MUNICIPAL DE ITAGUI ANTIOQUIA (890980093)</w:t>
      </w:r>
      <w:r>
        <w:rPr>
          <w:sz w:val="16"/>
          <w:szCs w:val="16"/>
        </w:rPr>
        <w:t>-</w:t>
      </w:r>
      <w:r>
        <w:t xml:space="preserve"> </w:t>
      </w:r>
      <w:hyperlink r:id="rId9" w:history="1">
        <w:r w:rsidRPr="007C011C">
          <w:rPr>
            <w:rStyle w:val="Hipervnculo"/>
            <w:sz w:val="16"/>
            <w:szCs w:val="16"/>
          </w:rPr>
          <w:t>https://apps.procuraduria.gov.co/ita/publico/consultaMatrizDetallada/</w:t>
        </w:r>
      </w:hyperlink>
      <w:r>
        <w:rPr>
          <w:sz w:val="16"/>
          <w:szCs w:val="16"/>
        </w:rPr>
        <w:t xml:space="preserve"> </w:t>
      </w:r>
    </w:p>
    <w:p w:rsidR="006418EA" w:rsidRPr="006A601F" w:rsidRDefault="006418EA" w:rsidP="006418EA">
      <w:pPr>
        <w:rPr>
          <w:sz w:val="16"/>
          <w:szCs w:val="16"/>
        </w:rPr>
      </w:pPr>
      <w:r>
        <w:rPr>
          <w:sz w:val="16"/>
          <w:szCs w:val="16"/>
        </w:rPr>
        <w:t>Elaboró: Arley Ramírez –Jefe Oficina de Control Interno</w:t>
      </w:r>
    </w:p>
    <w:p w:rsidR="006418EA" w:rsidRPr="00494126" w:rsidRDefault="006418EA" w:rsidP="006418EA">
      <w:pPr>
        <w:rPr>
          <w:szCs w:val="24"/>
        </w:rPr>
      </w:pPr>
    </w:p>
    <w:p w:rsidR="006418EA" w:rsidRPr="006A601F" w:rsidRDefault="006418EA" w:rsidP="006418EA">
      <w:pPr>
        <w:rPr>
          <w:szCs w:val="24"/>
        </w:rPr>
      </w:pPr>
      <w:r>
        <w:rPr>
          <w:szCs w:val="24"/>
        </w:rPr>
        <w:t xml:space="preserve">La Matriz de </w:t>
      </w:r>
      <w:r w:rsidRPr="006A601F">
        <w:rPr>
          <w:szCs w:val="24"/>
        </w:rPr>
        <w:t>Reporte de Cumplimiento ITA para el Periodo 2024</w:t>
      </w:r>
      <w:r>
        <w:rPr>
          <w:szCs w:val="24"/>
        </w:rPr>
        <w:t xml:space="preserve">, hace parte del presente informe y </w:t>
      </w:r>
      <w:r w:rsidRPr="006A601F">
        <w:rPr>
          <w:szCs w:val="24"/>
        </w:rPr>
        <w:t>ANEXO TÉCNICO 1. ACCESIBILIDAD WEB</w:t>
      </w:r>
    </w:p>
    <w:p w:rsidR="006418EA" w:rsidRDefault="006418EA" w:rsidP="006418EA">
      <w:pPr>
        <w:rPr>
          <w:szCs w:val="24"/>
        </w:rPr>
      </w:pPr>
    </w:p>
    <w:p w:rsidR="006418EA" w:rsidRDefault="006418EA" w:rsidP="006418EA">
      <w:pPr>
        <w:rPr>
          <w:szCs w:val="24"/>
        </w:rPr>
      </w:pPr>
      <w:r>
        <w:rPr>
          <w:szCs w:val="24"/>
        </w:rPr>
        <w:t>CONCLUSIONES</w:t>
      </w:r>
    </w:p>
    <w:p w:rsidR="006418EA" w:rsidRDefault="006418EA" w:rsidP="006418EA">
      <w:pPr>
        <w:rPr>
          <w:szCs w:val="24"/>
        </w:rPr>
      </w:pPr>
    </w:p>
    <w:p w:rsidR="006418EA" w:rsidRDefault="006418EA" w:rsidP="006418EA">
      <w:pPr>
        <w:rPr>
          <w:szCs w:val="24"/>
        </w:rPr>
      </w:pPr>
      <w:r w:rsidRPr="00C8509F">
        <w:rPr>
          <w:szCs w:val="24"/>
        </w:rPr>
        <w:t>La Personería, siendo un organismo de control y defensor de los derechos humanos, no tiene la función de emitir ni reglamentar leyes. Su principal rol es velar por el cumplimiento de la normativa existente y proteger los derechos de los ciudadanos.</w:t>
      </w:r>
      <w:r>
        <w:rPr>
          <w:szCs w:val="24"/>
        </w:rPr>
        <w:t xml:space="preserve"> </w:t>
      </w:r>
      <w:r w:rsidRPr="006A601F">
        <w:rPr>
          <w:szCs w:val="24"/>
        </w:rPr>
        <w:t>Que actúa como defensor de los derechos humanos, vigila la conducta oficial de los servidores públicos y defiende los intereses de la comunidad. Aunque emite conceptos y realiza seguimiento a las actuaciones de otras entidades, no toma decisiones administrativas que puedan afectar directamente al público de manera similar a como lo hacen otras entidades del gobierno. Res.1519 del 2020 anexo2, Ley 1712 del 2014.</w:t>
      </w:r>
    </w:p>
    <w:p w:rsidR="006418EA" w:rsidRDefault="006418EA" w:rsidP="006418EA">
      <w:pPr>
        <w:rPr>
          <w:szCs w:val="24"/>
        </w:rPr>
      </w:pPr>
    </w:p>
    <w:p w:rsidR="006418EA" w:rsidRDefault="006418EA" w:rsidP="006418EA">
      <w:pPr>
        <w:rPr>
          <w:szCs w:val="24"/>
        </w:rPr>
      </w:pPr>
      <w:r w:rsidRPr="00C8509F">
        <w:rPr>
          <w:szCs w:val="24"/>
        </w:rPr>
        <w:t>La "Agenda Regulatoria" es aplicable a entidades que tienen la capacidad y responsabilidad de emitir regulaciones, leyes, decretos, y normativas que afectan a la ciudadanía. La Personería, por su naturaleza y funciones, no emite regulaciones ni participa en la creación de normativas.</w:t>
      </w:r>
    </w:p>
    <w:p w:rsidR="006418EA" w:rsidRDefault="006418EA" w:rsidP="006418EA">
      <w:pPr>
        <w:rPr>
          <w:szCs w:val="24"/>
        </w:rPr>
      </w:pPr>
    </w:p>
    <w:p w:rsidR="006418EA" w:rsidRDefault="006418EA" w:rsidP="006418EA">
      <w:pPr>
        <w:rPr>
          <w:szCs w:val="24"/>
        </w:rPr>
      </w:pPr>
      <w:r>
        <w:rPr>
          <w:szCs w:val="24"/>
        </w:rPr>
        <w:t>L</w:t>
      </w:r>
      <w:r w:rsidRPr="00C8509F">
        <w:rPr>
          <w:szCs w:val="24"/>
        </w:rPr>
        <w:t>a Personería no tiene la función de desarrollar ni ejecutar proyectos de inversión, no está obligada a cumplir con el ítem 4.4 "Proyectos de Inversión" de la Resolución 1519 de 2020. Su enfoque está en la vigilancia y protección de los derechos de los ciudadanos, asegurando la transparencia y legalidad en los procesos llevados a cabo por otras entidades públicas.</w:t>
      </w:r>
    </w:p>
    <w:p w:rsidR="006418EA" w:rsidRDefault="006418EA" w:rsidP="006418EA">
      <w:pPr>
        <w:rPr>
          <w:szCs w:val="24"/>
        </w:rPr>
      </w:pPr>
    </w:p>
    <w:p w:rsidR="006418EA" w:rsidRPr="003421D8" w:rsidRDefault="006418EA" w:rsidP="006418EA">
      <w:pPr>
        <w:rPr>
          <w:szCs w:val="24"/>
        </w:rPr>
      </w:pPr>
      <w:r w:rsidRPr="003421D8">
        <w:rPr>
          <w:szCs w:val="24"/>
        </w:rPr>
        <w:t xml:space="preserve">Con la Transformación del </w:t>
      </w:r>
      <w:r>
        <w:rPr>
          <w:szCs w:val="24"/>
        </w:rPr>
        <w:t>Los sitios web de la</w:t>
      </w:r>
      <w:r w:rsidRPr="003421D8">
        <w:rPr>
          <w:szCs w:val="24"/>
        </w:rPr>
        <w:t xml:space="preserve"> </w:t>
      </w:r>
      <w:r>
        <w:rPr>
          <w:szCs w:val="24"/>
        </w:rPr>
        <w:t>Personería de Itagüí</w:t>
      </w:r>
      <w:r w:rsidRPr="003421D8">
        <w:rPr>
          <w:szCs w:val="24"/>
        </w:rPr>
        <w:t xml:space="preserve"> en sede</w:t>
      </w:r>
      <w:r>
        <w:rPr>
          <w:szCs w:val="24"/>
        </w:rPr>
        <w:t xml:space="preserve"> electrónica,</w:t>
      </w:r>
      <w:r w:rsidRPr="003421D8">
        <w:rPr>
          <w:szCs w:val="24"/>
        </w:rPr>
        <w:t xml:space="preserve"> como base esencial de la transformación digital, buscando una mayor garantía de los derechos de acceso a la información, transparencia, accesibilidad, entre otros, enmarcados en el principio constitucional que las autoridades tienen como finalidad la efectividad de los principios, derechos y deberes consagrados en la Constitución y las leyes.</w:t>
      </w:r>
      <w:r>
        <w:rPr>
          <w:szCs w:val="24"/>
        </w:rPr>
        <w:t xml:space="preserve"> P</w:t>
      </w:r>
      <w:r w:rsidRPr="003421D8">
        <w:rPr>
          <w:szCs w:val="24"/>
        </w:rPr>
        <w:t xml:space="preserve">ara asegurar que todo ciudadano se informe adecuadamente mediante los contenidos dispuestos en la sección de Transparencia en el Acceso a la Información Pública; que los ciudadanos </w:t>
      </w:r>
      <w:r>
        <w:rPr>
          <w:szCs w:val="24"/>
        </w:rPr>
        <w:t>acc3eden fácilmente a</w:t>
      </w:r>
      <w:r w:rsidRPr="003421D8">
        <w:rPr>
          <w:szCs w:val="24"/>
        </w:rPr>
        <w:t xml:space="preserve"> trámites y otros procedimientos mediante la sección de Atención y Servicios a la Ciudadanía; y que participen de lo público mediante los contenidos e información de la sección Participa. Además, se facilitar que la sede electrónica esté debidamente integrada con GOV.CO, el Portal Único del Estado colombiano. </w:t>
      </w:r>
      <w:r>
        <w:rPr>
          <w:szCs w:val="24"/>
        </w:rPr>
        <w:t>Así mismo s</w:t>
      </w:r>
      <w:r w:rsidRPr="003421D8">
        <w:rPr>
          <w:szCs w:val="24"/>
        </w:rPr>
        <w:t xml:space="preserve">e </w:t>
      </w:r>
      <w:r>
        <w:rPr>
          <w:szCs w:val="24"/>
        </w:rPr>
        <w:t xml:space="preserve">garantiza </w:t>
      </w:r>
      <w:r w:rsidRPr="003421D8">
        <w:rPr>
          <w:szCs w:val="24"/>
        </w:rPr>
        <w:t>la disponibilidad a la ciudadanía d</w:t>
      </w:r>
      <w:r>
        <w:rPr>
          <w:szCs w:val="24"/>
        </w:rPr>
        <w:t>e los sitios web y, en especial y</w:t>
      </w:r>
      <w:r w:rsidRPr="003421D8">
        <w:rPr>
          <w:szCs w:val="24"/>
        </w:rPr>
        <w:t xml:space="preserve"> la seguridad digital, la seguridad de la información y la privacidad de los datos abiertos.</w:t>
      </w:r>
    </w:p>
    <w:p w:rsidR="006418EA" w:rsidRDefault="006418EA" w:rsidP="006418EA">
      <w:pPr>
        <w:rPr>
          <w:rFonts w:ascii="Segoe UI" w:hAnsi="Segoe UI" w:cs="Segoe UI"/>
          <w:color w:val="212529"/>
          <w:shd w:val="clear" w:color="auto" w:fill="FFFFFF"/>
        </w:rPr>
      </w:pPr>
    </w:p>
    <w:p w:rsidR="006418EA" w:rsidRPr="00494126" w:rsidRDefault="006418EA" w:rsidP="006418EA">
      <w:pPr>
        <w:rPr>
          <w:szCs w:val="24"/>
        </w:rPr>
      </w:pPr>
      <w:r>
        <w:t xml:space="preserve">Se adoptan las medidas para garantizar la seguridad digital y mitigar riesgos de incidentes cibernéticos o filtración de datos personales o sensibles, observando lo establecido en el anexo 3 de la </w:t>
      </w:r>
      <w:r w:rsidRPr="009D0736">
        <w:t>Resolución 1519 de 2020</w:t>
      </w:r>
      <w:r>
        <w:t>.</w:t>
      </w:r>
    </w:p>
    <w:p w:rsidR="006418EA" w:rsidRDefault="006418EA" w:rsidP="006418EA">
      <w:pPr>
        <w:rPr>
          <w:szCs w:val="24"/>
        </w:rPr>
      </w:pPr>
    </w:p>
    <w:p w:rsidR="006418EA" w:rsidRDefault="006418EA" w:rsidP="006418EA">
      <w:pPr>
        <w:rPr>
          <w:szCs w:val="24"/>
        </w:rPr>
      </w:pPr>
      <w:r w:rsidRPr="00C8509F">
        <w:rPr>
          <w:szCs w:val="24"/>
        </w:rPr>
        <w:t>No se ha presentado ningún caso donde la entidad haya sufrido algún incidente en temas de seguridad de la información</w:t>
      </w:r>
    </w:p>
    <w:p w:rsidR="006418EA" w:rsidRDefault="006418EA" w:rsidP="006418EA">
      <w:pPr>
        <w:rPr>
          <w:szCs w:val="24"/>
        </w:rPr>
      </w:pPr>
    </w:p>
    <w:p w:rsidR="006418EA" w:rsidRPr="006A601F" w:rsidRDefault="006418EA" w:rsidP="006418EA">
      <w:pPr>
        <w:rPr>
          <w:szCs w:val="24"/>
        </w:rPr>
      </w:pPr>
      <w:r>
        <w:rPr>
          <w:szCs w:val="24"/>
        </w:rPr>
        <w:t>RECOMENDACIONES</w:t>
      </w:r>
    </w:p>
    <w:p w:rsidR="006418EA" w:rsidRPr="00494126" w:rsidRDefault="006418EA" w:rsidP="006418EA">
      <w:pPr>
        <w:rPr>
          <w:szCs w:val="24"/>
        </w:rPr>
      </w:pPr>
    </w:p>
    <w:p w:rsidR="006418EA" w:rsidRPr="009D0736" w:rsidRDefault="006418EA" w:rsidP="006418EA">
      <w:pPr>
        <w:rPr>
          <w:rFonts w:cs="Arial"/>
          <w:szCs w:val="24"/>
        </w:rPr>
      </w:pPr>
      <w:r w:rsidRPr="009D0736">
        <w:rPr>
          <w:rFonts w:cs="Arial"/>
          <w:color w:val="212529"/>
          <w:shd w:val="clear" w:color="auto" w:fill="FFFFFF"/>
        </w:rPr>
        <w:t xml:space="preserve">Se deben establecer nuevas condiciones para que la entidad publique datos abiertos y los integren al Portal Único de Datos Abiertos </w:t>
      </w:r>
      <w:hyperlink r:id="rId10" w:history="1">
        <w:r w:rsidRPr="009D0736">
          <w:rPr>
            <w:rStyle w:val="Hipervnculo"/>
            <w:rFonts w:cs="Arial"/>
            <w:shd w:val="clear" w:color="auto" w:fill="FFFFFF"/>
          </w:rPr>
          <w:t>www.datos.gov.co</w:t>
        </w:r>
      </w:hyperlink>
      <w:r w:rsidRPr="009D0736">
        <w:rPr>
          <w:rFonts w:cs="Arial"/>
          <w:color w:val="212529"/>
          <w:shd w:val="clear" w:color="auto" w:fill="FFFFFF"/>
        </w:rPr>
        <w:t xml:space="preserve">. , observando Requisitos mínimos de datos abiertos - Anexo 4 Resolución 1519; Requisitos mínimos de datos abiertos - Anexo 4 Resolución 1519, </w:t>
      </w:r>
      <w:r w:rsidRPr="009D0736">
        <w:rPr>
          <w:rFonts w:cs="Arial"/>
        </w:rPr>
        <w:t>Los sujetos obligados deben observar la Guía Nacional de Datos Abiertos en Colombia, la Guía de Estándares de Calidad e Interoperabilidad.</w:t>
      </w:r>
    </w:p>
    <w:p w:rsidR="006418EA" w:rsidRDefault="006418EA" w:rsidP="006418EA">
      <w:pPr>
        <w:rPr>
          <w:szCs w:val="24"/>
        </w:rPr>
      </w:pPr>
    </w:p>
    <w:p w:rsidR="006418EA" w:rsidRPr="00A14942" w:rsidRDefault="006418EA" w:rsidP="006418EA">
      <w:pPr>
        <w:spacing w:after="160"/>
        <w:rPr>
          <w:rFonts w:cs="Arial"/>
          <w:szCs w:val="24"/>
        </w:rPr>
      </w:pPr>
      <w:r>
        <w:rPr>
          <w:rFonts w:cs="Arial"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630555</wp:posOffset>
            </wp:positionH>
            <wp:positionV relativeFrom="paragraph">
              <wp:posOffset>157718</wp:posOffset>
            </wp:positionV>
            <wp:extent cx="485775" cy="546497"/>
            <wp:effectExtent l="19050" t="0" r="9525" b="0"/>
            <wp:wrapNone/>
            <wp:docPr id="4" name="Imagen 130" descr="D:\63502132\Desktop\Firm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D:\63502132\Desktop\Firma (2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46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4942">
        <w:rPr>
          <w:rFonts w:cs="Arial"/>
          <w:szCs w:val="24"/>
        </w:rPr>
        <w:t>Firma</w:t>
      </w:r>
    </w:p>
    <w:p w:rsidR="006418EA" w:rsidRPr="00A14942" w:rsidRDefault="006418EA" w:rsidP="006418EA">
      <w:pPr>
        <w:widowControl w:val="0"/>
        <w:tabs>
          <w:tab w:val="left" w:pos="914"/>
          <w:tab w:val="left" w:pos="1427"/>
          <w:tab w:val="left" w:pos="1966"/>
        </w:tabs>
        <w:autoSpaceDE w:val="0"/>
        <w:autoSpaceDN w:val="0"/>
        <w:rPr>
          <w:rFonts w:eastAsia="Microsoft Sans Serif" w:cs="Arial"/>
          <w:szCs w:val="24"/>
        </w:rPr>
      </w:pPr>
    </w:p>
    <w:p w:rsidR="006418EA" w:rsidRPr="00A14942" w:rsidRDefault="006418EA" w:rsidP="006418EA">
      <w:pPr>
        <w:widowControl w:val="0"/>
        <w:autoSpaceDE w:val="0"/>
        <w:autoSpaceDN w:val="0"/>
        <w:spacing w:before="1"/>
        <w:rPr>
          <w:rFonts w:cs="Arial"/>
          <w:bCs/>
          <w:szCs w:val="24"/>
        </w:rPr>
      </w:pPr>
      <w:r w:rsidRPr="00A14942">
        <w:rPr>
          <w:rFonts w:cs="Arial"/>
          <w:bCs/>
          <w:szCs w:val="24"/>
        </w:rPr>
        <w:t>ARLEY DE JESÚS RAMÍREZ PATIÑO</w:t>
      </w:r>
    </w:p>
    <w:p w:rsidR="006418EA" w:rsidRPr="00A14942" w:rsidRDefault="006418EA" w:rsidP="006418EA">
      <w:pPr>
        <w:widowControl w:val="0"/>
        <w:tabs>
          <w:tab w:val="left" w:pos="6645"/>
        </w:tabs>
        <w:autoSpaceDE w:val="0"/>
        <w:autoSpaceDN w:val="0"/>
        <w:ind w:right="14"/>
        <w:rPr>
          <w:rFonts w:eastAsia="Microsoft Sans Serif" w:cs="Arial"/>
          <w:spacing w:val="-1"/>
          <w:szCs w:val="24"/>
        </w:rPr>
      </w:pPr>
      <w:r w:rsidRPr="00A14942">
        <w:rPr>
          <w:rFonts w:eastAsia="Microsoft Sans Serif" w:cs="Arial"/>
          <w:spacing w:val="-1"/>
          <w:szCs w:val="24"/>
        </w:rPr>
        <w:t xml:space="preserve">Jefe Oficina de Control Interno </w:t>
      </w:r>
      <w:r>
        <w:rPr>
          <w:rFonts w:eastAsia="Microsoft Sans Serif" w:cs="Arial"/>
          <w:spacing w:val="-1"/>
          <w:szCs w:val="24"/>
        </w:rPr>
        <w:tab/>
      </w:r>
    </w:p>
    <w:p w:rsidR="006418EA" w:rsidRPr="00A14942" w:rsidRDefault="006418EA" w:rsidP="006418EA">
      <w:pPr>
        <w:widowControl w:val="0"/>
        <w:autoSpaceDE w:val="0"/>
        <w:autoSpaceDN w:val="0"/>
        <w:ind w:right="14"/>
        <w:rPr>
          <w:rFonts w:eastAsia="Microsoft Sans Serif" w:cs="Arial"/>
          <w:spacing w:val="-1"/>
          <w:szCs w:val="24"/>
        </w:rPr>
      </w:pPr>
      <w:r w:rsidRPr="00A14942">
        <w:rPr>
          <w:rFonts w:eastAsia="Microsoft Sans Serif" w:cs="Arial"/>
          <w:spacing w:val="-1"/>
          <w:szCs w:val="24"/>
        </w:rPr>
        <w:t>Personería Municipal Itagüí</w:t>
      </w:r>
    </w:p>
    <w:p w:rsidR="006418EA" w:rsidRPr="00A14942" w:rsidRDefault="006418EA" w:rsidP="006418EA">
      <w:pPr>
        <w:rPr>
          <w:rFonts w:cs="Arial"/>
          <w:szCs w:val="24"/>
        </w:rPr>
      </w:pPr>
    </w:p>
    <w:p w:rsidR="006418EA" w:rsidRPr="00D54FD7" w:rsidRDefault="006418EA" w:rsidP="006418EA">
      <w:pPr>
        <w:pStyle w:val="Sinespaciado"/>
        <w:rPr>
          <w:sz w:val="16"/>
          <w:szCs w:val="16"/>
        </w:rPr>
      </w:pPr>
      <w:r w:rsidRPr="00D54FD7">
        <w:rPr>
          <w:sz w:val="16"/>
          <w:szCs w:val="16"/>
        </w:rPr>
        <w:t>E/P/: Arley De Jesús Ramírez Patiño-Jefe Oficina de Control  Interno</w:t>
      </w:r>
    </w:p>
    <w:p w:rsidR="006418EA" w:rsidRPr="00D54FD7" w:rsidRDefault="006418EA" w:rsidP="006418EA">
      <w:pPr>
        <w:pStyle w:val="Sinespaciado"/>
        <w:rPr>
          <w:sz w:val="16"/>
          <w:szCs w:val="16"/>
        </w:rPr>
      </w:pPr>
      <w:r w:rsidRPr="00D54FD7">
        <w:rPr>
          <w:sz w:val="16"/>
          <w:szCs w:val="16"/>
        </w:rPr>
        <w:t>R/: Jhonny Alexander Zapata-Asesor Planeación Calidad y tecnologías de la información</w:t>
      </w:r>
    </w:p>
    <w:p w:rsidR="00C11690" w:rsidRPr="00494126" w:rsidRDefault="006418EA" w:rsidP="006418EA">
      <w:pPr>
        <w:rPr>
          <w:szCs w:val="24"/>
        </w:rPr>
      </w:pPr>
      <w:r w:rsidRPr="00D54FD7">
        <w:rPr>
          <w:sz w:val="16"/>
          <w:szCs w:val="16"/>
        </w:rPr>
        <w:t>R/: - John Fredy Ortiz Tabares-Personero municipal</w:t>
      </w:r>
    </w:p>
    <w:sectPr w:rsidR="00C11690" w:rsidRPr="00494126" w:rsidSect="00DB312C">
      <w:headerReference w:type="default" r:id="rId12"/>
      <w:footerReference w:type="default" r:id="rId13"/>
      <w:pgSz w:w="12240" w:h="15840"/>
      <w:pgMar w:top="2094" w:right="1041" w:bottom="1418" w:left="1134" w:header="421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83C" w:rsidRDefault="003B783C" w:rsidP="00C50F77">
      <w:r>
        <w:separator/>
      </w:r>
    </w:p>
  </w:endnote>
  <w:endnote w:type="continuationSeparator" w:id="0">
    <w:p w:rsidR="003B783C" w:rsidRDefault="003B783C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02D" w:rsidRPr="00351352" w:rsidRDefault="00351352" w:rsidP="00351352">
    <w:pPr>
      <w:pStyle w:val="Piedepgina"/>
    </w:pPr>
    <w:r w:rsidRPr="00351352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19050</wp:posOffset>
          </wp:positionH>
          <wp:positionV relativeFrom="paragraph">
            <wp:posOffset>-672465</wp:posOffset>
          </wp:positionV>
          <wp:extent cx="7610475" cy="847090"/>
          <wp:effectExtent l="19050" t="0" r="9525" b="0"/>
          <wp:wrapThrough wrapText="bothSides">
            <wp:wrapPolygon edited="0">
              <wp:start x="4758" y="2429"/>
              <wp:lineTo x="-54" y="6801"/>
              <wp:lineTo x="-54" y="15058"/>
              <wp:lineTo x="4650" y="17973"/>
              <wp:lineTo x="4650" y="19916"/>
              <wp:lineTo x="13084" y="19916"/>
              <wp:lineTo x="14706" y="19916"/>
              <wp:lineTo x="14869" y="17973"/>
              <wp:lineTo x="21573" y="16516"/>
              <wp:lineTo x="21627" y="11658"/>
              <wp:lineTo x="21086" y="10201"/>
              <wp:lineTo x="21627" y="10201"/>
              <wp:lineTo x="21627" y="6801"/>
              <wp:lineTo x="14652" y="2429"/>
              <wp:lineTo x="4758" y="2429"/>
            </wp:wrapPolygon>
          </wp:wrapThrough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83C" w:rsidRDefault="003B783C" w:rsidP="00C50F77">
      <w:r>
        <w:separator/>
      </w:r>
    </w:p>
  </w:footnote>
  <w:footnote w:type="continuationSeparator" w:id="0">
    <w:p w:rsidR="003B783C" w:rsidRDefault="003B783C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CA2" w:rsidRDefault="009F5CA2" w:rsidP="009F5CA2">
    <w:pPr>
      <w:pStyle w:val="Encabezado"/>
      <w:tabs>
        <w:tab w:val="clear" w:pos="4419"/>
        <w:tab w:val="clear" w:pos="8838"/>
        <w:tab w:val="left" w:pos="1277"/>
      </w:tabs>
      <w:rPr>
        <w:noProof/>
        <w:lang w:eastAsia="es-CO"/>
      </w:rPr>
    </w:pPr>
    <w:r>
      <w:rPr>
        <w:noProof/>
        <w:lang w:eastAsia="es-CO"/>
      </w:rPr>
      <w:tab/>
    </w:r>
  </w:p>
  <w:tbl>
    <w:tblPr>
      <w:tblpPr w:leftFromText="141" w:rightFromText="141" w:vertAnchor="text" w:tblpXSpec="center" w:tblpY="1"/>
      <w:tblOverlap w:val="never"/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02"/>
      <w:gridCol w:w="4797"/>
      <w:gridCol w:w="2494"/>
    </w:tblGrid>
    <w:tr w:rsidR="009F5CA2" w:rsidTr="00392246">
      <w:trPr>
        <w:cantSplit/>
        <w:trHeight w:hRule="exact" w:val="397"/>
      </w:trPr>
      <w:tc>
        <w:tcPr>
          <w:tcW w:w="2702" w:type="dxa"/>
          <w:vMerge w:val="restart"/>
          <w:vAlign w:val="center"/>
        </w:tcPr>
        <w:p w:rsidR="009F5CA2" w:rsidRDefault="00351352" w:rsidP="00392246">
          <w:pPr>
            <w:pStyle w:val="Encabezado"/>
            <w:ind w:left="-70"/>
            <w:jc w:val="center"/>
            <w:rPr>
              <w:rFonts w:cs="Arial"/>
            </w:rPr>
          </w:pPr>
          <w:r w:rsidRPr="00351352">
            <w:rPr>
              <w:noProof/>
            </w:rPr>
            <w:drawing>
              <wp:inline distT="0" distB="0" distL="0" distR="0">
                <wp:extent cx="1677670" cy="741680"/>
                <wp:effectExtent l="0" t="0" r="0" b="0"/>
                <wp:docPr id="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7" w:type="dxa"/>
          <w:vMerge w:val="restart"/>
          <w:vAlign w:val="center"/>
        </w:tcPr>
        <w:p w:rsidR="009F5CA2" w:rsidRPr="00F943B9" w:rsidRDefault="009F5CA2" w:rsidP="00392246">
          <w:pPr>
            <w:pStyle w:val="Encabezado"/>
            <w:jc w:val="center"/>
            <w:rPr>
              <w:rFonts w:cs="Arial"/>
              <w:b/>
              <w:lang w:val="es-CO"/>
            </w:rPr>
          </w:pPr>
          <w:r>
            <w:rPr>
              <w:rFonts w:cs="Arial"/>
              <w:b/>
            </w:rPr>
            <w:t>INFORME</w:t>
          </w:r>
        </w:p>
      </w:tc>
      <w:tc>
        <w:tcPr>
          <w:tcW w:w="2494" w:type="dxa"/>
          <w:vAlign w:val="center"/>
        </w:tcPr>
        <w:p w:rsidR="009F5CA2" w:rsidRPr="00DE05AD" w:rsidRDefault="009F5CA2" w:rsidP="00392246">
          <w:pPr>
            <w:pStyle w:val="Encabezado"/>
            <w:rPr>
              <w:rFonts w:cs="Arial"/>
              <w:b/>
            </w:rPr>
          </w:pPr>
          <w:r w:rsidRPr="00DE05AD">
            <w:rPr>
              <w:rFonts w:cs="Arial"/>
              <w:b/>
              <w:lang w:val="es-CO"/>
            </w:rPr>
            <w:t>Código</w:t>
          </w:r>
          <w:r w:rsidR="00B01F76">
            <w:rPr>
              <w:rFonts w:cs="Arial"/>
              <w:b/>
            </w:rPr>
            <w:t>: FEM-15</w:t>
          </w:r>
        </w:p>
      </w:tc>
    </w:tr>
    <w:tr w:rsidR="009F5CA2" w:rsidTr="00392246">
      <w:trPr>
        <w:cantSplit/>
        <w:trHeight w:hRule="exact" w:val="397"/>
      </w:trPr>
      <w:tc>
        <w:tcPr>
          <w:tcW w:w="2702" w:type="dxa"/>
          <w:vMerge/>
          <w:vAlign w:val="center"/>
        </w:tcPr>
        <w:p w:rsidR="009F5CA2" w:rsidRDefault="009F5CA2" w:rsidP="00392246">
          <w:pPr>
            <w:pStyle w:val="Encabezado"/>
            <w:ind w:left="-70"/>
            <w:jc w:val="center"/>
            <w:rPr>
              <w:rFonts w:cs="Arial"/>
            </w:rPr>
          </w:pPr>
        </w:p>
      </w:tc>
      <w:tc>
        <w:tcPr>
          <w:tcW w:w="4797" w:type="dxa"/>
          <w:vMerge/>
          <w:vAlign w:val="center"/>
        </w:tcPr>
        <w:p w:rsidR="009F5CA2" w:rsidRPr="00F943B9" w:rsidRDefault="009F5CA2" w:rsidP="00392246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494" w:type="dxa"/>
          <w:vAlign w:val="center"/>
        </w:tcPr>
        <w:p w:rsidR="009F5CA2" w:rsidRPr="00DE05AD" w:rsidRDefault="009F5CA2" w:rsidP="00392246">
          <w:pPr>
            <w:pStyle w:val="Encabezado"/>
            <w:rPr>
              <w:rFonts w:cs="Arial"/>
              <w:b/>
            </w:rPr>
          </w:pPr>
          <w:r w:rsidRPr="00DE05AD">
            <w:rPr>
              <w:rFonts w:cs="Arial"/>
              <w:b/>
              <w:lang w:val="es-CO"/>
            </w:rPr>
            <w:t>Versión</w:t>
          </w:r>
          <w:r w:rsidR="00351352">
            <w:rPr>
              <w:rFonts w:cs="Arial"/>
              <w:b/>
            </w:rPr>
            <w:t>: 04</w:t>
          </w:r>
        </w:p>
      </w:tc>
    </w:tr>
    <w:tr w:rsidR="009F5CA2" w:rsidTr="009F5CA2">
      <w:trPr>
        <w:cantSplit/>
        <w:trHeight w:hRule="exact" w:val="339"/>
      </w:trPr>
      <w:tc>
        <w:tcPr>
          <w:tcW w:w="2702" w:type="dxa"/>
          <w:vMerge/>
          <w:vAlign w:val="center"/>
        </w:tcPr>
        <w:p w:rsidR="009F5CA2" w:rsidRDefault="009F5CA2" w:rsidP="00392246">
          <w:pPr>
            <w:pStyle w:val="Encabezado"/>
            <w:jc w:val="center"/>
            <w:rPr>
              <w:rFonts w:cs="Arial"/>
            </w:rPr>
          </w:pPr>
        </w:p>
      </w:tc>
      <w:tc>
        <w:tcPr>
          <w:tcW w:w="4797" w:type="dxa"/>
          <w:vMerge/>
          <w:vAlign w:val="center"/>
        </w:tcPr>
        <w:p w:rsidR="009F5CA2" w:rsidRPr="00F943B9" w:rsidRDefault="009F5CA2" w:rsidP="00392246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494" w:type="dxa"/>
          <w:vAlign w:val="center"/>
        </w:tcPr>
        <w:p w:rsidR="009F5CA2" w:rsidRPr="00DE05AD" w:rsidRDefault="009F5CA2" w:rsidP="00392246">
          <w:pPr>
            <w:pStyle w:val="Encabezado"/>
            <w:rPr>
              <w:rFonts w:cs="Arial"/>
              <w:b/>
            </w:rPr>
          </w:pPr>
          <w:r w:rsidRPr="00DE05AD">
            <w:rPr>
              <w:rFonts w:cs="Arial"/>
              <w:b/>
              <w:lang w:val="es-CO"/>
            </w:rPr>
            <w:t>Fecha</w:t>
          </w:r>
          <w:r w:rsidRPr="00DE05AD">
            <w:rPr>
              <w:rFonts w:cs="Arial"/>
              <w:b/>
            </w:rPr>
            <w:t xml:space="preserve">: </w:t>
          </w:r>
          <w:r w:rsidR="00351352">
            <w:rPr>
              <w:rFonts w:cs="Arial"/>
              <w:b/>
            </w:rPr>
            <w:t>01/09/2024</w:t>
          </w:r>
        </w:p>
        <w:p w:rsidR="009F5CA2" w:rsidRPr="00DE05AD" w:rsidRDefault="009F5CA2" w:rsidP="00392246">
          <w:pPr>
            <w:pStyle w:val="Encabezado"/>
            <w:rPr>
              <w:rFonts w:cs="Arial"/>
              <w:b/>
            </w:rPr>
          </w:pPr>
        </w:p>
      </w:tc>
    </w:tr>
  </w:tbl>
  <w:p w:rsidR="00661998" w:rsidRDefault="00661998" w:rsidP="009F5CA2">
    <w:pPr>
      <w:pStyle w:val="Encabezado"/>
      <w:tabs>
        <w:tab w:val="clear" w:pos="4419"/>
        <w:tab w:val="clear" w:pos="8838"/>
        <w:tab w:val="left" w:pos="1277"/>
      </w:tabs>
      <w:rPr>
        <w:noProof/>
        <w:lang w:eastAsia="es-CO"/>
      </w:rPr>
    </w:pPr>
  </w:p>
  <w:p w:rsidR="00661998" w:rsidRDefault="0066199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726E"/>
    <w:multiLevelType w:val="multilevel"/>
    <w:tmpl w:val="843EE0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037F98"/>
    <w:multiLevelType w:val="hybridMultilevel"/>
    <w:tmpl w:val="72EC5B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522C0"/>
    <w:multiLevelType w:val="hybridMultilevel"/>
    <w:tmpl w:val="A04299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4418A"/>
    <w:multiLevelType w:val="multilevel"/>
    <w:tmpl w:val="2ED61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C040C7B"/>
    <w:multiLevelType w:val="hybridMultilevel"/>
    <w:tmpl w:val="ED86E2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C1177"/>
    <w:multiLevelType w:val="hybridMultilevel"/>
    <w:tmpl w:val="7332BE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30F29"/>
    <w:multiLevelType w:val="hybridMultilevel"/>
    <w:tmpl w:val="88DA9B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F6DE5"/>
    <w:multiLevelType w:val="hybridMultilevel"/>
    <w:tmpl w:val="508212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F4D1B"/>
    <w:multiLevelType w:val="hybridMultilevel"/>
    <w:tmpl w:val="D6703F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D0E5F"/>
    <w:multiLevelType w:val="hybridMultilevel"/>
    <w:tmpl w:val="30F222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062291"/>
    <w:multiLevelType w:val="multilevel"/>
    <w:tmpl w:val="A04E6C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4130BDD"/>
    <w:multiLevelType w:val="hybridMultilevel"/>
    <w:tmpl w:val="91C241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5510F"/>
    <w:multiLevelType w:val="hybridMultilevel"/>
    <w:tmpl w:val="AEC8A06E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8A976D7"/>
    <w:multiLevelType w:val="hybridMultilevel"/>
    <w:tmpl w:val="92926C1C"/>
    <w:lvl w:ilvl="0" w:tplc="ED66F0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54567"/>
    <w:multiLevelType w:val="hybridMultilevel"/>
    <w:tmpl w:val="75025B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D46E96"/>
    <w:multiLevelType w:val="hybridMultilevel"/>
    <w:tmpl w:val="9E04B1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E26715"/>
    <w:multiLevelType w:val="multilevel"/>
    <w:tmpl w:val="E3024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3CF000FA"/>
    <w:multiLevelType w:val="multilevel"/>
    <w:tmpl w:val="336E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7410F8"/>
    <w:multiLevelType w:val="hybridMultilevel"/>
    <w:tmpl w:val="5E5EB5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023EB4">
      <w:numFmt w:val="bullet"/>
      <w:lvlText w:val="-"/>
      <w:lvlJc w:val="left"/>
      <w:pPr>
        <w:ind w:left="2160" w:hanging="1080"/>
      </w:pPr>
      <w:rPr>
        <w:rFonts w:ascii="Arial" w:eastAsia="Calibri" w:hAnsi="Arial" w:cs="Arial" w:hint="default"/>
        <w:b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331C68"/>
    <w:multiLevelType w:val="hybridMultilevel"/>
    <w:tmpl w:val="D090BA7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A645DB"/>
    <w:multiLevelType w:val="hybridMultilevel"/>
    <w:tmpl w:val="DC0EB4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27D34"/>
    <w:multiLevelType w:val="hybridMultilevel"/>
    <w:tmpl w:val="8C5AF26C"/>
    <w:lvl w:ilvl="0" w:tplc="A19696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B064A"/>
    <w:multiLevelType w:val="multilevel"/>
    <w:tmpl w:val="E3024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56B81DBF"/>
    <w:multiLevelType w:val="hybridMultilevel"/>
    <w:tmpl w:val="423EB22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E03636"/>
    <w:multiLevelType w:val="hybridMultilevel"/>
    <w:tmpl w:val="FFD8BF8C"/>
    <w:lvl w:ilvl="0" w:tplc="08365CF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2E1E44"/>
    <w:multiLevelType w:val="hybridMultilevel"/>
    <w:tmpl w:val="275EAAAA"/>
    <w:lvl w:ilvl="0" w:tplc="08365CF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1B54CC"/>
    <w:multiLevelType w:val="multilevel"/>
    <w:tmpl w:val="8F227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7002492C"/>
    <w:multiLevelType w:val="hybridMultilevel"/>
    <w:tmpl w:val="AAC28992"/>
    <w:lvl w:ilvl="0" w:tplc="2A3E1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B5FD7"/>
    <w:multiLevelType w:val="hybridMultilevel"/>
    <w:tmpl w:val="06E27F32"/>
    <w:lvl w:ilvl="0" w:tplc="07A6BEB6">
      <w:start w:val="1"/>
      <w:numFmt w:val="decimal"/>
      <w:lvlText w:val="%1."/>
      <w:lvlJc w:val="left"/>
      <w:pPr>
        <w:ind w:left="927" w:hanging="36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10"/>
  </w:num>
  <w:num w:numId="4">
    <w:abstractNumId w:val="22"/>
  </w:num>
  <w:num w:numId="5">
    <w:abstractNumId w:val="16"/>
  </w:num>
  <w:num w:numId="6">
    <w:abstractNumId w:val="4"/>
  </w:num>
  <w:num w:numId="7">
    <w:abstractNumId w:val="18"/>
  </w:num>
  <w:num w:numId="8">
    <w:abstractNumId w:val="11"/>
  </w:num>
  <w:num w:numId="9">
    <w:abstractNumId w:val="1"/>
  </w:num>
  <w:num w:numId="10">
    <w:abstractNumId w:val="23"/>
  </w:num>
  <w:num w:numId="11">
    <w:abstractNumId w:val="25"/>
  </w:num>
  <w:num w:numId="12">
    <w:abstractNumId w:val="24"/>
  </w:num>
  <w:num w:numId="13">
    <w:abstractNumId w:val="6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5"/>
  </w:num>
  <w:num w:numId="17">
    <w:abstractNumId w:val="5"/>
  </w:num>
  <w:num w:numId="18">
    <w:abstractNumId w:val="27"/>
  </w:num>
  <w:num w:numId="19">
    <w:abstractNumId w:val="21"/>
  </w:num>
  <w:num w:numId="20">
    <w:abstractNumId w:val="7"/>
  </w:num>
  <w:num w:numId="21">
    <w:abstractNumId w:val="12"/>
  </w:num>
  <w:num w:numId="22">
    <w:abstractNumId w:val="14"/>
  </w:num>
  <w:num w:numId="23">
    <w:abstractNumId w:val="8"/>
  </w:num>
  <w:num w:numId="24">
    <w:abstractNumId w:val="17"/>
  </w:num>
  <w:num w:numId="25">
    <w:abstractNumId w:val="2"/>
  </w:num>
  <w:num w:numId="26">
    <w:abstractNumId w:val="3"/>
  </w:num>
  <w:num w:numId="27">
    <w:abstractNumId w:val="9"/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154BD"/>
    <w:rsid w:val="00047344"/>
    <w:rsid w:val="0005495B"/>
    <w:rsid w:val="0008771C"/>
    <w:rsid w:val="000A462F"/>
    <w:rsid w:val="000B00C6"/>
    <w:rsid w:val="000B4888"/>
    <w:rsid w:val="000C275C"/>
    <w:rsid w:val="000D00E0"/>
    <w:rsid w:val="000D07A5"/>
    <w:rsid w:val="000E5240"/>
    <w:rsid w:val="001147AA"/>
    <w:rsid w:val="00117B9E"/>
    <w:rsid w:val="00127557"/>
    <w:rsid w:val="001402A2"/>
    <w:rsid w:val="00147176"/>
    <w:rsid w:val="00153203"/>
    <w:rsid w:val="001900E8"/>
    <w:rsid w:val="001A303D"/>
    <w:rsid w:val="001B33CD"/>
    <w:rsid w:val="001B6500"/>
    <w:rsid w:val="001B6CA5"/>
    <w:rsid w:val="001B798F"/>
    <w:rsid w:val="001D3F06"/>
    <w:rsid w:val="001F29C6"/>
    <w:rsid w:val="00221512"/>
    <w:rsid w:val="00225437"/>
    <w:rsid w:val="002324A9"/>
    <w:rsid w:val="002521BF"/>
    <w:rsid w:val="00257CC2"/>
    <w:rsid w:val="00260108"/>
    <w:rsid w:val="002655D8"/>
    <w:rsid w:val="00274129"/>
    <w:rsid w:val="00291F44"/>
    <w:rsid w:val="002D16D7"/>
    <w:rsid w:val="002D7AF2"/>
    <w:rsid w:val="002E4D5D"/>
    <w:rsid w:val="002F3D2D"/>
    <w:rsid w:val="00306B59"/>
    <w:rsid w:val="003254F8"/>
    <w:rsid w:val="00333AAA"/>
    <w:rsid w:val="003421D8"/>
    <w:rsid w:val="003427B3"/>
    <w:rsid w:val="0034523C"/>
    <w:rsid w:val="00351352"/>
    <w:rsid w:val="003730AE"/>
    <w:rsid w:val="003827F4"/>
    <w:rsid w:val="0038494F"/>
    <w:rsid w:val="003871F2"/>
    <w:rsid w:val="00392246"/>
    <w:rsid w:val="003B783C"/>
    <w:rsid w:val="00402E50"/>
    <w:rsid w:val="00405B5B"/>
    <w:rsid w:val="004067D9"/>
    <w:rsid w:val="00426A18"/>
    <w:rsid w:val="00437F6C"/>
    <w:rsid w:val="00442EA3"/>
    <w:rsid w:val="00450427"/>
    <w:rsid w:val="004561AD"/>
    <w:rsid w:val="0046647F"/>
    <w:rsid w:val="0046793B"/>
    <w:rsid w:val="00494126"/>
    <w:rsid w:val="004A7906"/>
    <w:rsid w:val="004C389C"/>
    <w:rsid w:val="004C5D0A"/>
    <w:rsid w:val="004C69E2"/>
    <w:rsid w:val="004C7377"/>
    <w:rsid w:val="004D6DD4"/>
    <w:rsid w:val="004F4349"/>
    <w:rsid w:val="004F443B"/>
    <w:rsid w:val="00507B34"/>
    <w:rsid w:val="00534BBB"/>
    <w:rsid w:val="005473FC"/>
    <w:rsid w:val="00556780"/>
    <w:rsid w:val="00570C40"/>
    <w:rsid w:val="00595D29"/>
    <w:rsid w:val="005978B1"/>
    <w:rsid w:val="005A48C6"/>
    <w:rsid w:val="005B455D"/>
    <w:rsid w:val="005B6353"/>
    <w:rsid w:val="005E0B99"/>
    <w:rsid w:val="005F13CE"/>
    <w:rsid w:val="00611D70"/>
    <w:rsid w:val="006204DC"/>
    <w:rsid w:val="006417BA"/>
    <w:rsid w:val="006418EA"/>
    <w:rsid w:val="00641FD4"/>
    <w:rsid w:val="00646BA6"/>
    <w:rsid w:val="0065556E"/>
    <w:rsid w:val="00661998"/>
    <w:rsid w:val="006812C7"/>
    <w:rsid w:val="00682940"/>
    <w:rsid w:val="0068408B"/>
    <w:rsid w:val="006A601F"/>
    <w:rsid w:val="006B1A31"/>
    <w:rsid w:val="006B3390"/>
    <w:rsid w:val="006C53DE"/>
    <w:rsid w:val="006D203D"/>
    <w:rsid w:val="006E08A8"/>
    <w:rsid w:val="006E1A58"/>
    <w:rsid w:val="006E596F"/>
    <w:rsid w:val="006E73ED"/>
    <w:rsid w:val="00725DA2"/>
    <w:rsid w:val="00726F3F"/>
    <w:rsid w:val="0073302D"/>
    <w:rsid w:val="00754319"/>
    <w:rsid w:val="007565CA"/>
    <w:rsid w:val="00757A50"/>
    <w:rsid w:val="00792D15"/>
    <w:rsid w:val="007932CC"/>
    <w:rsid w:val="007947A9"/>
    <w:rsid w:val="007A09B0"/>
    <w:rsid w:val="007A2DE1"/>
    <w:rsid w:val="007B3FDF"/>
    <w:rsid w:val="007C464C"/>
    <w:rsid w:val="007C4EBD"/>
    <w:rsid w:val="007E4A1A"/>
    <w:rsid w:val="007F3B4F"/>
    <w:rsid w:val="00817C9D"/>
    <w:rsid w:val="00847DA4"/>
    <w:rsid w:val="008626F9"/>
    <w:rsid w:val="00866BD0"/>
    <w:rsid w:val="00867280"/>
    <w:rsid w:val="00891F48"/>
    <w:rsid w:val="008D40B3"/>
    <w:rsid w:val="008F25DE"/>
    <w:rsid w:val="00932C10"/>
    <w:rsid w:val="00946940"/>
    <w:rsid w:val="009532D4"/>
    <w:rsid w:val="009946B5"/>
    <w:rsid w:val="009C147E"/>
    <w:rsid w:val="009C3918"/>
    <w:rsid w:val="009D0736"/>
    <w:rsid w:val="009E464B"/>
    <w:rsid w:val="009F497B"/>
    <w:rsid w:val="009F5CA2"/>
    <w:rsid w:val="00A03F09"/>
    <w:rsid w:val="00A129EF"/>
    <w:rsid w:val="00A13B53"/>
    <w:rsid w:val="00A333EF"/>
    <w:rsid w:val="00A41B9C"/>
    <w:rsid w:val="00A516F2"/>
    <w:rsid w:val="00A6141A"/>
    <w:rsid w:val="00A70CDF"/>
    <w:rsid w:val="00A71B5B"/>
    <w:rsid w:val="00A8063C"/>
    <w:rsid w:val="00AD3A44"/>
    <w:rsid w:val="00AE42D0"/>
    <w:rsid w:val="00AF0875"/>
    <w:rsid w:val="00AF1125"/>
    <w:rsid w:val="00AF64F3"/>
    <w:rsid w:val="00B01F76"/>
    <w:rsid w:val="00B12622"/>
    <w:rsid w:val="00B12FEE"/>
    <w:rsid w:val="00B449B6"/>
    <w:rsid w:val="00B44D1C"/>
    <w:rsid w:val="00B755F8"/>
    <w:rsid w:val="00B918F4"/>
    <w:rsid w:val="00BA714D"/>
    <w:rsid w:val="00BB644D"/>
    <w:rsid w:val="00BB6A05"/>
    <w:rsid w:val="00BC331A"/>
    <w:rsid w:val="00BC5A1F"/>
    <w:rsid w:val="00C06C78"/>
    <w:rsid w:val="00C11690"/>
    <w:rsid w:val="00C16099"/>
    <w:rsid w:val="00C23289"/>
    <w:rsid w:val="00C30140"/>
    <w:rsid w:val="00C3051C"/>
    <w:rsid w:val="00C307E4"/>
    <w:rsid w:val="00C50F77"/>
    <w:rsid w:val="00C5195A"/>
    <w:rsid w:val="00C528F1"/>
    <w:rsid w:val="00C558F0"/>
    <w:rsid w:val="00C62772"/>
    <w:rsid w:val="00C664AB"/>
    <w:rsid w:val="00C8509F"/>
    <w:rsid w:val="00C86386"/>
    <w:rsid w:val="00CA34B1"/>
    <w:rsid w:val="00CC5858"/>
    <w:rsid w:val="00CF29A0"/>
    <w:rsid w:val="00D019D6"/>
    <w:rsid w:val="00D0634F"/>
    <w:rsid w:val="00D07AF0"/>
    <w:rsid w:val="00D26675"/>
    <w:rsid w:val="00D37300"/>
    <w:rsid w:val="00D436BB"/>
    <w:rsid w:val="00D52CD4"/>
    <w:rsid w:val="00D54FD7"/>
    <w:rsid w:val="00D62E9F"/>
    <w:rsid w:val="00D67044"/>
    <w:rsid w:val="00DA50D3"/>
    <w:rsid w:val="00DB312C"/>
    <w:rsid w:val="00DB5BD6"/>
    <w:rsid w:val="00DE05AD"/>
    <w:rsid w:val="00DE762A"/>
    <w:rsid w:val="00E03477"/>
    <w:rsid w:val="00E40F12"/>
    <w:rsid w:val="00E74D19"/>
    <w:rsid w:val="00E75E7E"/>
    <w:rsid w:val="00E823C2"/>
    <w:rsid w:val="00EB6F0E"/>
    <w:rsid w:val="00EC6693"/>
    <w:rsid w:val="00EC79CB"/>
    <w:rsid w:val="00ED3CE1"/>
    <w:rsid w:val="00EE024C"/>
    <w:rsid w:val="00EE7DE9"/>
    <w:rsid w:val="00EF03D4"/>
    <w:rsid w:val="00F003F3"/>
    <w:rsid w:val="00F31AF9"/>
    <w:rsid w:val="00F36A9C"/>
    <w:rsid w:val="00F37280"/>
    <w:rsid w:val="00F42BCD"/>
    <w:rsid w:val="00F5556E"/>
    <w:rsid w:val="00F56CBC"/>
    <w:rsid w:val="00F736BA"/>
    <w:rsid w:val="00F7519D"/>
    <w:rsid w:val="00F94CFB"/>
    <w:rsid w:val="00FA17C5"/>
    <w:rsid w:val="00FA3098"/>
    <w:rsid w:val="00FB1D98"/>
    <w:rsid w:val="00FB58F7"/>
    <w:rsid w:val="00FC0560"/>
    <w:rsid w:val="00FC15EA"/>
    <w:rsid w:val="00FC39E6"/>
    <w:rsid w:val="00FC4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0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uiPriority w:val="99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291F44"/>
    <w:pPr>
      <w:spacing w:after="120"/>
      <w:jc w:val="left"/>
    </w:pPr>
    <w:rPr>
      <w:rFonts w:ascii="Times New Roman" w:hAnsi="Times New Roman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91F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91F4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CO" w:eastAsia="en-US"/>
    </w:rPr>
  </w:style>
  <w:style w:type="paragraph" w:styleId="Sinespaciado">
    <w:name w:val="No Spacing"/>
    <w:uiPriority w:val="1"/>
    <w:qFormat/>
    <w:rsid w:val="00291F4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tejustify">
    <w:name w:val="rtejustify"/>
    <w:basedOn w:val="Normal"/>
    <w:rsid w:val="00291F44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291F44"/>
    <w:rPr>
      <w:b/>
      <w:bCs/>
    </w:rPr>
  </w:style>
  <w:style w:type="character" w:styleId="nfasis">
    <w:name w:val="Emphasis"/>
    <w:basedOn w:val="Fuentedeprrafopredeter"/>
    <w:uiPriority w:val="20"/>
    <w:qFormat/>
    <w:rsid w:val="00291F44"/>
    <w:rPr>
      <w:i/>
      <w:iCs/>
    </w:rPr>
  </w:style>
  <w:style w:type="character" w:customStyle="1" w:styleId="apple-converted-space">
    <w:name w:val="apple-converted-space"/>
    <w:basedOn w:val="Fuentedeprrafopredeter"/>
    <w:rsid w:val="00291F44"/>
  </w:style>
  <w:style w:type="paragraph" w:customStyle="1" w:styleId="default">
    <w:name w:val="default"/>
    <w:basedOn w:val="Normal"/>
    <w:rsid w:val="00291F44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CO" w:eastAsia="es-CO"/>
    </w:rPr>
  </w:style>
  <w:style w:type="paragraph" w:customStyle="1" w:styleId="pa8">
    <w:name w:val="pa8"/>
    <w:basedOn w:val="Normal"/>
    <w:rsid w:val="00291F44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CO" w:eastAsia="es-CO"/>
    </w:rPr>
  </w:style>
  <w:style w:type="paragraph" w:customStyle="1" w:styleId="pa9">
    <w:name w:val="pa9"/>
    <w:basedOn w:val="Normal"/>
    <w:rsid w:val="00291F44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CO" w:eastAsia="es-CO"/>
    </w:rPr>
  </w:style>
  <w:style w:type="table" w:styleId="Listaclara-nfasis6">
    <w:name w:val="Light List Accent 6"/>
    <w:basedOn w:val="Tablanormal"/>
    <w:rsid w:val="001402A2"/>
    <w:pPr>
      <w:spacing w:after="0" w:line="240" w:lineRule="exact"/>
      <w:jc w:val="center"/>
    </w:pPr>
    <w:rPr>
      <w:rFonts w:ascii="Arial" w:eastAsia="Calibri" w:hAnsi="Arial" w:cs="Arial"/>
      <w:sz w:val="24"/>
      <w:szCs w:val="24"/>
      <w:lang w:eastAsia="es-CO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6" w:space="0" w:color="F79646"/>
        <w:insideV w:val="single" w:sz="6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full-name">
    <w:name w:val="full-name"/>
    <w:basedOn w:val="Fuentedeprrafopredeter"/>
    <w:rsid w:val="001402A2"/>
  </w:style>
  <w:style w:type="table" w:styleId="Tablaconcuadrcula">
    <w:name w:val="Table Grid"/>
    <w:basedOn w:val="Tablanormal"/>
    <w:uiPriority w:val="59"/>
    <w:rsid w:val="001402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ar"/>
    <w:qFormat/>
    <w:rsid w:val="001402A2"/>
    <w:pPr>
      <w:jc w:val="center"/>
    </w:pPr>
    <w:rPr>
      <w:lang w:val="es-ES_tradnl"/>
    </w:rPr>
  </w:style>
  <w:style w:type="character" w:customStyle="1" w:styleId="PuestoCar">
    <w:name w:val="Puesto Car"/>
    <w:basedOn w:val="Fuentedeprrafopredeter"/>
    <w:uiPriority w:val="10"/>
    <w:rsid w:val="001402A2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">
    <w:name w:val="Título Car"/>
    <w:link w:val="Ttulo"/>
    <w:rsid w:val="001402A2"/>
    <w:rPr>
      <w:rFonts w:ascii="Arial" w:eastAsia="Times New Roman" w:hAnsi="Arial" w:cs="Times New Roman"/>
      <w:sz w:val="24"/>
      <w:szCs w:val="20"/>
      <w:lang w:val="es-ES_tradnl"/>
    </w:rPr>
  </w:style>
  <w:style w:type="paragraph" w:styleId="NormalWeb">
    <w:name w:val="Normal (Web)"/>
    <w:basedOn w:val="Normal"/>
    <w:uiPriority w:val="99"/>
    <w:unhideWhenUsed/>
    <w:rsid w:val="001402A2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CO" w:eastAsia="es-CO"/>
    </w:rPr>
  </w:style>
  <w:style w:type="paragraph" w:customStyle="1" w:styleId="Default0">
    <w:name w:val="Default"/>
    <w:rsid w:val="001402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customStyle="1" w:styleId="CM3">
    <w:name w:val="CM3"/>
    <w:basedOn w:val="Default0"/>
    <w:next w:val="Default0"/>
    <w:uiPriority w:val="99"/>
    <w:rsid w:val="001402A2"/>
    <w:pPr>
      <w:spacing w:line="346" w:lineRule="atLeast"/>
    </w:pPr>
    <w:rPr>
      <w:color w:val="auto"/>
    </w:rPr>
  </w:style>
  <w:style w:type="paragraph" w:styleId="Textoindependiente2">
    <w:name w:val="Body Text 2"/>
    <w:basedOn w:val="Normal"/>
    <w:link w:val="Textoindependiente2Car"/>
    <w:rsid w:val="001402A2"/>
    <w:pPr>
      <w:autoSpaceDE w:val="0"/>
      <w:autoSpaceDN w:val="0"/>
      <w:adjustRightInd w:val="0"/>
    </w:pPr>
    <w:rPr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1402A2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Sinespaciado1">
    <w:name w:val="Sin espaciado1"/>
    <w:rsid w:val="001402A2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paragraph" w:customStyle="1" w:styleId="Style1">
    <w:name w:val="Style 1"/>
    <w:uiPriority w:val="99"/>
    <w:rsid w:val="001402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402A2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402A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1402A2"/>
    <w:rPr>
      <w:vertAlign w:val="superscript"/>
    </w:rPr>
  </w:style>
  <w:style w:type="paragraph" w:customStyle="1" w:styleId="Style10">
    <w:name w:val="Style 10"/>
    <w:uiPriority w:val="99"/>
    <w:rsid w:val="001402A2"/>
    <w:pPr>
      <w:widowControl w:val="0"/>
      <w:autoSpaceDE w:val="0"/>
      <w:autoSpaceDN w:val="0"/>
      <w:spacing w:before="288" w:after="0" w:line="240" w:lineRule="auto"/>
      <w:ind w:left="792" w:right="288"/>
      <w:jc w:val="both"/>
    </w:pPr>
    <w:rPr>
      <w:rFonts w:ascii="Garamond" w:eastAsia="Times New Roman" w:hAnsi="Garamond" w:cs="Garamond"/>
      <w:sz w:val="24"/>
      <w:szCs w:val="24"/>
      <w:lang w:val="en-US" w:eastAsia="es-CO"/>
    </w:rPr>
  </w:style>
  <w:style w:type="paragraph" w:customStyle="1" w:styleId="Style11">
    <w:name w:val="Style 11"/>
    <w:uiPriority w:val="99"/>
    <w:rsid w:val="001402A2"/>
    <w:pPr>
      <w:widowControl w:val="0"/>
      <w:autoSpaceDE w:val="0"/>
      <w:autoSpaceDN w:val="0"/>
      <w:spacing w:before="252" w:after="0" w:line="240" w:lineRule="auto"/>
      <w:ind w:left="144"/>
      <w:jc w:val="both"/>
    </w:pPr>
    <w:rPr>
      <w:rFonts w:ascii="Garamond" w:eastAsia="Times New Roman" w:hAnsi="Garamond" w:cs="Garamond"/>
      <w:sz w:val="24"/>
      <w:szCs w:val="24"/>
      <w:lang w:val="en-US" w:eastAsia="es-CO"/>
    </w:rPr>
  </w:style>
  <w:style w:type="character" w:customStyle="1" w:styleId="CharacterStyle4">
    <w:name w:val="Character Style 4"/>
    <w:uiPriority w:val="99"/>
    <w:rsid w:val="001402A2"/>
    <w:rPr>
      <w:rFonts w:ascii="Garamond" w:hAnsi="Garamond" w:cs="Garamond"/>
      <w:sz w:val="24"/>
      <w:szCs w:val="24"/>
    </w:rPr>
  </w:style>
  <w:style w:type="character" w:styleId="nfasissutil">
    <w:name w:val="Subtle Emphasis"/>
    <w:uiPriority w:val="19"/>
    <w:qFormat/>
    <w:rsid w:val="001402A2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6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ersoneriaitagui.gov.co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datos.gov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s.procuraduria.gov.co/ita/publico/consultaMatrizDetallada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1180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Serna</dc:creator>
  <cp:keywords/>
  <dc:description/>
  <cp:lastModifiedBy>63502132</cp:lastModifiedBy>
  <cp:revision>11</cp:revision>
  <cp:lastPrinted>2024-12-16T18:56:00Z</cp:lastPrinted>
  <dcterms:created xsi:type="dcterms:W3CDTF">2016-09-05T22:03:00Z</dcterms:created>
  <dcterms:modified xsi:type="dcterms:W3CDTF">2024-12-16T21:14:00Z</dcterms:modified>
</cp:coreProperties>
</file>