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A71" w:rsidRDefault="00CD3A71" w:rsidP="00CD3A71">
      <w:pPr>
        <w:rPr>
          <w:rStyle w:val="Hipervnculo"/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Las soli</w:t>
      </w:r>
      <w:bookmarkStart w:id="0" w:name="_GoBack"/>
      <w:bookmarkEnd w:id="0"/>
      <w:r>
        <w:rPr>
          <w:rFonts w:cs="Arial"/>
          <w:szCs w:val="24"/>
          <w:shd w:val="clear" w:color="auto" w:fill="FFFFFF"/>
        </w:rPr>
        <w:t>citudes o requerimientos</w:t>
      </w:r>
      <w:r w:rsidR="006A2518">
        <w:rPr>
          <w:rFonts w:cs="Arial"/>
          <w:szCs w:val="24"/>
          <w:shd w:val="clear" w:color="auto" w:fill="FFFFFF"/>
        </w:rPr>
        <w:t xml:space="preserve"> para el área de </w:t>
      </w:r>
      <w:r w:rsidR="007A19A7">
        <w:rPr>
          <w:rFonts w:cs="Arial"/>
          <w:szCs w:val="24"/>
          <w:shd w:val="clear" w:color="auto" w:fill="FFFFFF"/>
        </w:rPr>
        <w:t>comunicaciones</w:t>
      </w:r>
      <w:r w:rsidR="005145D4">
        <w:rPr>
          <w:rFonts w:cs="Arial"/>
          <w:szCs w:val="24"/>
          <w:shd w:val="clear" w:color="auto" w:fill="FFFFFF"/>
        </w:rPr>
        <w:t xml:space="preserve"> </w:t>
      </w:r>
      <w:r>
        <w:rPr>
          <w:rFonts w:cs="Arial"/>
          <w:szCs w:val="24"/>
          <w:shd w:val="clear" w:color="auto" w:fill="FFFFFF"/>
        </w:rPr>
        <w:t>se debe</w:t>
      </w:r>
      <w:r w:rsidR="006A2518">
        <w:rPr>
          <w:rFonts w:cs="Arial"/>
          <w:szCs w:val="24"/>
          <w:shd w:val="clear" w:color="auto" w:fill="FFFFFF"/>
        </w:rPr>
        <w:t>n</w:t>
      </w:r>
      <w:r>
        <w:rPr>
          <w:rFonts w:cs="Arial"/>
          <w:szCs w:val="24"/>
          <w:shd w:val="clear" w:color="auto" w:fill="FFFFFF"/>
        </w:rPr>
        <w:t xml:space="preserve"> realizar diligenciando</w:t>
      </w:r>
      <w:r w:rsidR="007A19A7">
        <w:rPr>
          <w:rFonts w:cs="Arial"/>
          <w:szCs w:val="24"/>
          <w:shd w:val="clear" w:color="auto" w:fill="FFFFFF"/>
        </w:rPr>
        <w:t xml:space="preserve"> este </w:t>
      </w:r>
      <w:r w:rsidR="006A2518">
        <w:rPr>
          <w:rFonts w:cs="Arial"/>
          <w:szCs w:val="24"/>
          <w:shd w:val="clear" w:color="auto" w:fill="FFFFFF"/>
        </w:rPr>
        <w:t>formato</w:t>
      </w:r>
      <w:r w:rsidR="00E32399">
        <w:rPr>
          <w:rFonts w:cs="Arial"/>
          <w:szCs w:val="24"/>
          <w:shd w:val="clear" w:color="auto" w:fill="FFFFFF"/>
        </w:rPr>
        <w:t xml:space="preserve">, </w:t>
      </w:r>
      <w:r w:rsidR="006A2518">
        <w:rPr>
          <w:rFonts w:cs="Arial"/>
          <w:szCs w:val="24"/>
          <w:shd w:val="clear" w:color="auto" w:fill="FFFFFF"/>
        </w:rPr>
        <w:t xml:space="preserve">el cual sebe ser enviado </w:t>
      </w:r>
      <w:r>
        <w:rPr>
          <w:rFonts w:cs="Arial"/>
          <w:szCs w:val="24"/>
          <w:shd w:val="clear" w:color="auto" w:fill="FFFFFF"/>
        </w:rPr>
        <w:t xml:space="preserve">al correo electrónico </w:t>
      </w:r>
      <w:hyperlink r:id="rId8" w:history="1">
        <w:r w:rsidRPr="00E01D3F">
          <w:rPr>
            <w:rStyle w:val="Hipervnculo"/>
            <w:rFonts w:cs="Arial"/>
            <w:szCs w:val="24"/>
            <w:shd w:val="clear" w:color="auto" w:fill="FFFFFF"/>
          </w:rPr>
          <w:t>comunicaciones@personeriaitagui.gov.co</w:t>
        </w:r>
      </w:hyperlink>
    </w:p>
    <w:p w:rsidR="00183C90" w:rsidRDefault="00183C90" w:rsidP="00CD3A71">
      <w:pPr>
        <w:rPr>
          <w:rStyle w:val="Hipervnculo"/>
          <w:rFonts w:cs="Arial"/>
          <w:szCs w:val="24"/>
          <w:shd w:val="clear" w:color="auto" w:fill="FFFFFF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183C90" w:rsidTr="00183C90">
        <w:tc>
          <w:tcPr>
            <w:tcW w:w="4489" w:type="dxa"/>
          </w:tcPr>
          <w:p w:rsidR="00183C90" w:rsidRPr="00EA3310" w:rsidRDefault="00183C90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szCs w:val="24"/>
                <w:shd w:val="clear" w:color="auto" w:fill="FFFFFF"/>
              </w:rPr>
              <w:t>Fecha:</w:t>
            </w:r>
          </w:p>
        </w:tc>
        <w:tc>
          <w:tcPr>
            <w:tcW w:w="4489" w:type="dxa"/>
          </w:tcPr>
          <w:p w:rsidR="00183C90" w:rsidRDefault="003259B9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05</w:t>
            </w:r>
            <w:r w:rsidR="0050202B">
              <w:rPr>
                <w:rFonts w:cs="Arial"/>
                <w:szCs w:val="24"/>
                <w:shd w:val="clear" w:color="auto" w:fill="FFFFFF"/>
              </w:rPr>
              <w:t>/06/2023</w:t>
            </w:r>
          </w:p>
        </w:tc>
      </w:tr>
      <w:tr w:rsidR="00183C90" w:rsidTr="00183C90">
        <w:tc>
          <w:tcPr>
            <w:tcW w:w="4489" w:type="dxa"/>
          </w:tcPr>
          <w:p w:rsidR="00183C90" w:rsidRPr="00EA3310" w:rsidRDefault="00183C90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iCs/>
              </w:rPr>
              <w:t xml:space="preserve">Área encargada:  </w:t>
            </w:r>
          </w:p>
        </w:tc>
        <w:tc>
          <w:tcPr>
            <w:tcW w:w="4489" w:type="dxa"/>
          </w:tcPr>
          <w:p w:rsidR="00183C90" w:rsidRDefault="0050202B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Oficina de Control Interno</w:t>
            </w:r>
          </w:p>
        </w:tc>
      </w:tr>
      <w:tr w:rsidR="00183C90" w:rsidTr="00183C90">
        <w:tc>
          <w:tcPr>
            <w:tcW w:w="4489" w:type="dxa"/>
          </w:tcPr>
          <w:p w:rsidR="00183C90" w:rsidRPr="00EA3310" w:rsidRDefault="00183C90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iCs/>
              </w:rPr>
              <w:t xml:space="preserve">Nombre de la persona encargada: </w:t>
            </w:r>
          </w:p>
        </w:tc>
        <w:tc>
          <w:tcPr>
            <w:tcW w:w="4489" w:type="dxa"/>
          </w:tcPr>
          <w:p w:rsidR="00183C90" w:rsidRDefault="005D2F82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Arley de Jesús Ramírez P</w:t>
            </w:r>
            <w:r w:rsidR="0050202B">
              <w:rPr>
                <w:rFonts w:cs="Arial"/>
                <w:szCs w:val="24"/>
                <w:shd w:val="clear" w:color="auto" w:fill="FFFFFF"/>
              </w:rPr>
              <w:t>atiño</w:t>
            </w:r>
          </w:p>
        </w:tc>
      </w:tr>
      <w:tr w:rsidR="00183C90" w:rsidTr="00183C90">
        <w:tc>
          <w:tcPr>
            <w:tcW w:w="4489" w:type="dxa"/>
          </w:tcPr>
          <w:p w:rsidR="00183C90" w:rsidRPr="00EA3310" w:rsidRDefault="00183C90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iCs/>
              </w:rPr>
              <w:t xml:space="preserve">Cargo: </w:t>
            </w:r>
          </w:p>
        </w:tc>
        <w:tc>
          <w:tcPr>
            <w:tcW w:w="4489" w:type="dxa"/>
          </w:tcPr>
          <w:p w:rsidR="00183C90" w:rsidRDefault="0050202B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Jefe Oficina de Control Interno</w:t>
            </w:r>
          </w:p>
        </w:tc>
      </w:tr>
      <w:tr w:rsidR="00183C90" w:rsidTr="00183C90">
        <w:tc>
          <w:tcPr>
            <w:tcW w:w="4489" w:type="dxa"/>
          </w:tcPr>
          <w:p w:rsidR="00183C90" w:rsidRPr="00EA3310" w:rsidRDefault="00183C90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iCs/>
              </w:rPr>
              <w:t>Celular:</w:t>
            </w:r>
          </w:p>
        </w:tc>
        <w:tc>
          <w:tcPr>
            <w:tcW w:w="4489" w:type="dxa"/>
          </w:tcPr>
          <w:p w:rsidR="00183C90" w:rsidRDefault="0050202B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3164196834</w:t>
            </w:r>
          </w:p>
        </w:tc>
      </w:tr>
      <w:tr w:rsidR="00183C90" w:rsidTr="00183C90">
        <w:tc>
          <w:tcPr>
            <w:tcW w:w="4489" w:type="dxa"/>
          </w:tcPr>
          <w:p w:rsidR="00183C90" w:rsidRPr="00EA3310" w:rsidRDefault="00183C90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iCs/>
              </w:rPr>
              <w:t xml:space="preserve">Correo electrónico: </w:t>
            </w:r>
          </w:p>
        </w:tc>
        <w:tc>
          <w:tcPr>
            <w:tcW w:w="4489" w:type="dxa"/>
          </w:tcPr>
          <w:p w:rsidR="00183C90" w:rsidRDefault="000D5D5F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hyperlink r:id="rId9" w:history="1">
              <w:r w:rsidR="0050202B" w:rsidRPr="00F81DE2">
                <w:rPr>
                  <w:rStyle w:val="Hipervnculo"/>
                  <w:rFonts w:cs="Arial"/>
                  <w:szCs w:val="24"/>
                  <w:shd w:val="clear" w:color="auto" w:fill="FFFFFF"/>
                </w:rPr>
                <w:t>controlinterno@personeriaitagui.gov.co</w:t>
              </w:r>
            </w:hyperlink>
            <w:r w:rsidR="0050202B">
              <w:rPr>
                <w:rFonts w:cs="Arial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183C90" w:rsidRDefault="00183C90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183C90" w:rsidTr="00183C90">
        <w:tc>
          <w:tcPr>
            <w:tcW w:w="8978" w:type="dxa"/>
          </w:tcPr>
          <w:p w:rsidR="00183C90" w:rsidRPr="00EA3310" w:rsidRDefault="00183C90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b/>
                <w:bCs/>
                <w:lang w:val="es-CO"/>
              </w:rPr>
              <w:t>¿Qué</w:t>
            </w:r>
            <w:r w:rsidRPr="00EA3310">
              <w:rPr>
                <w:b/>
                <w:bCs/>
              </w:rPr>
              <w:t xml:space="preserve"> apoyo o requerimientos solicita al área de comunicaciones? </w:t>
            </w:r>
          </w:p>
        </w:tc>
      </w:tr>
      <w:tr w:rsidR="00183C90" w:rsidTr="00183C90">
        <w:tc>
          <w:tcPr>
            <w:tcW w:w="8978" w:type="dxa"/>
          </w:tcPr>
          <w:p w:rsidR="006360F6" w:rsidRDefault="006360F6" w:rsidP="006360F6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color w:val="333333"/>
                <w:sz w:val="25"/>
                <w:szCs w:val="25"/>
                <w:shd w:val="clear" w:color="auto" w:fill="FFFFFF"/>
              </w:rPr>
              <w:t xml:space="preserve">Publicar la </w:t>
            </w:r>
            <w:r>
              <w:rPr>
                <w:rFonts w:cs="Arial"/>
                <w:szCs w:val="24"/>
                <w:shd w:val="clear" w:color="auto" w:fill="FFFFFF"/>
              </w:rPr>
              <w:t>Circular N° 018 de la Procuradora general de la Nación</w:t>
            </w:r>
          </w:p>
          <w:p w:rsidR="006360F6" w:rsidRDefault="006360F6" w:rsidP="002D25C1">
            <w:pPr>
              <w:spacing w:line="360" w:lineRule="auto"/>
              <w:rPr>
                <w:rFonts w:cs="Arial"/>
                <w:color w:val="333333"/>
                <w:sz w:val="25"/>
                <w:szCs w:val="25"/>
                <w:shd w:val="clear" w:color="auto" w:fill="FFFFFF"/>
              </w:rPr>
            </w:pPr>
          </w:p>
          <w:p w:rsidR="006360F6" w:rsidRDefault="006360F6" w:rsidP="002D25C1">
            <w:pPr>
              <w:spacing w:line="360" w:lineRule="auto"/>
              <w:rPr>
                <w:rFonts w:cs="Arial"/>
                <w:color w:val="333333"/>
                <w:sz w:val="25"/>
                <w:szCs w:val="25"/>
                <w:shd w:val="clear" w:color="auto" w:fill="FFFFFF"/>
              </w:rPr>
            </w:pPr>
            <w:r>
              <w:rPr>
                <w:rFonts w:cs="Arial"/>
                <w:color w:val="333333"/>
                <w:sz w:val="25"/>
                <w:szCs w:val="25"/>
                <w:shd w:val="clear" w:color="auto" w:fill="FFFFFF"/>
              </w:rPr>
              <w:t>Lo señalado en el numeral 5.  De la Presente Circular emitida por la Procuraduría General de la Nación.</w:t>
            </w:r>
          </w:p>
          <w:p w:rsidR="006360F6" w:rsidRDefault="006360F6" w:rsidP="002D25C1">
            <w:pPr>
              <w:spacing w:line="360" w:lineRule="auto"/>
              <w:rPr>
                <w:rFonts w:cs="Arial"/>
                <w:color w:val="333333"/>
                <w:sz w:val="25"/>
                <w:szCs w:val="25"/>
                <w:shd w:val="clear" w:color="auto" w:fill="FFFFFF"/>
              </w:rPr>
            </w:pPr>
          </w:p>
          <w:p w:rsidR="006360F6" w:rsidRDefault="006360F6" w:rsidP="006360F6">
            <w:pPr>
              <w:rPr>
                <w:rFonts w:cs="Arial"/>
                <w:szCs w:val="24"/>
                <w:shd w:val="clear" w:color="auto" w:fill="FFFFFF"/>
              </w:rPr>
            </w:pPr>
            <w:r w:rsidRPr="0050202B">
              <w:rPr>
                <w:rFonts w:cs="Arial"/>
                <w:bCs/>
                <w:szCs w:val="24"/>
              </w:rPr>
              <w:t xml:space="preserve">Informe  </w:t>
            </w:r>
            <w:r>
              <w:rPr>
                <w:rFonts w:cs="Arial"/>
                <w:bCs/>
                <w:szCs w:val="24"/>
              </w:rPr>
              <w:t>Sujetos Obligados en el Artículo 5 de la Ley 1712 de 2014</w:t>
            </w:r>
          </w:p>
          <w:p w:rsidR="006360F6" w:rsidRDefault="006360F6" w:rsidP="006360F6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  <w:p w:rsidR="006360F6" w:rsidRDefault="006360F6" w:rsidP="006360F6">
            <w:pPr>
              <w:spacing w:line="360" w:lineRule="auto"/>
              <w:rPr>
                <w:rFonts w:cs="Arial"/>
                <w:color w:val="333333"/>
                <w:sz w:val="25"/>
                <w:szCs w:val="25"/>
                <w:shd w:val="clear" w:color="auto" w:fill="FFFFFF"/>
              </w:rPr>
            </w:pPr>
            <w:r>
              <w:rPr>
                <w:rFonts w:cs="Arial"/>
                <w:color w:val="333333"/>
                <w:sz w:val="25"/>
                <w:szCs w:val="25"/>
                <w:shd w:val="clear" w:color="auto" w:fill="FFFFFF"/>
              </w:rPr>
              <w:t>“En ejercicio del derecho fundamental de acceso a la información Pública”</w:t>
            </w:r>
          </w:p>
          <w:p w:rsidR="006360F6" w:rsidRDefault="006360F6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4A192E" w:rsidTr="00183C90">
        <w:tc>
          <w:tcPr>
            <w:tcW w:w="8978" w:type="dxa"/>
          </w:tcPr>
          <w:p w:rsidR="004A192E" w:rsidRDefault="004A192E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83C90" w:rsidTr="00183C90">
        <w:tc>
          <w:tcPr>
            <w:tcW w:w="8978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EA3310">
              <w:rPr>
                <w:b/>
                <w:bCs/>
                <w:lang w:val="es-CO"/>
              </w:rPr>
              <w:t>¿Nombre del tema a comunicar e información de contexto?</w:t>
            </w:r>
          </w:p>
        </w:tc>
      </w:tr>
      <w:tr w:rsidR="00183C90" w:rsidTr="00183C90">
        <w:tc>
          <w:tcPr>
            <w:tcW w:w="8978" w:type="dxa"/>
          </w:tcPr>
          <w:p w:rsidR="00183C90" w:rsidRDefault="003259B9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Circular N° 018 de la Procuradora general de la Nación</w:t>
            </w:r>
          </w:p>
          <w:p w:rsidR="003259B9" w:rsidRDefault="003259B9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Implementación de la resolución1519 de 2020, “ Por la cual se definen los estándares y directrices para publicar la información señalada en la Ley 1712 de 2014 y se definen los requisitos materiales de acceso a la información Pública</w:t>
            </w:r>
          </w:p>
          <w:p w:rsidR="003259B9" w:rsidRDefault="003259B9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Accesibilidad a la Web</w:t>
            </w:r>
          </w:p>
          <w:p w:rsidR="003259B9" w:rsidRDefault="003259B9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lastRenderedPageBreak/>
              <w:t>Seguridad Digital,</w:t>
            </w:r>
          </w:p>
          <w:p w:rsidR="003259B9" w:rsidRDefault="003259B9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Y Datos abiertos (MINTIC) Y La aplicación de la Matriz ITA</w:t>
            </w:r>
          </w:p>
        </w:tc>
      </w:tr>
      <w:tr w:rsidR="004A192E" w:rsidTr="00183C90">
        <w:tc>
          <w:tcPr>
            <w:tcW w:w="8978" w:type="dxa"/>
          </w:tcPr>
          <w:p w:rsidR="004A192E" w:rsidRDefault="004A192E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83C90" w:rsidTr="00183C90">
        <w:tc>
          <w:tcPr>
            <w:tcW w:w="8978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EA3310">
              <w:rPr>
                <w:b/>
                <w:bCs/>
                <w:lang w:val="es-CO"/>
              </w:rPr>
              <w:t>¿Cuál es el objetivo y cuáles son los resultados esperados?</w:t>
            </w:r>
          </w:p>
        </w:tc>
      </w:tr>
      <w:tr w:rsidR="00183C90" w:rsidTr="00183C90">
        <w:tc>
          <w:tcPr>
            <w:tcW w:w="8978" w:type="dxa"/>
          </w:tcPr>
          <w:p w:rsidR="00183C90" w:rsidRDefault="0050202B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Darlo a conocer al público interno y externo</w:t>
            </w:r>
          </w:p>
        </w:tc>
      </w:tr>
      <w:tr w:rsidR="004A192E" w:rsidTr="00183C90">
        <w:tc>
          <w:tcPr>
            <w:tcW w:w="8978" w:type="dxa"/>
          </w:tcPr>
          <w:p w:rsidR="004A192E" w:rsidRDefault="004A192E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83C90" w:rsidTr="00183C90">
        <w:tc>
          <w:tcPr>
            <w:tcW w:w="8978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EA3310">
              <w:rPr>
                <w:b/>
                <w:bCs/>
                <w:lang w:val="es-CO"/>
              </w:rPr>
              <w:t>¿Cuál es la Fecha del requerimiento?</w:t>
            </w:r>
          </w:p>
        </w:tc>
      </w:tr>
      <w:tr w:rsidR="00183C90" w:rsidTr="00183C90">
        <w:tc>
          <w:tcPr>
            <w:tcW w:w="8978" w:type="dxa"/>
          </w:tcPr>
          <w:p w:rsidR="00183C90" w:rsidRDefault="003259B9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05</w:t>
            </w:r>
            <w:r w:rsidR="0050202B">
              <w:rPr>
                <w:rFonts w:cs="Arial"/>
                <w:szCs w:val="24"/>
                <w:shd w:val="clear" w:color="auto" w:fill="FFFFFF"/>
              </w:rPr>
              <w:t>/0672023</w:t>
            </w:r>
          </w:p>
        </w:tc>
      </w:tr>
      <w:tr w:rsidR="004A192E" w:rsidTr="00183C90">
        <w:tc>
          <w:tcPr>
            <w:tcW w:w="8978" w:type="dxa"/>
          </w:tcPr>
          <w:p w:rsidR="004A192E" w:rsidRDefault="004A192E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83C90" w:rsidTr="00183C90">
        <w:tc>
          <w:tcPr>
            <w:tcW w:w="8978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EA3310">
              <w:rPr>
                <w:b/>
                <w:bCs/>
                <w:lang w:val="es-CO"/>
              </w:rPr>
              <w:t>¿Cuál es el público objetivo?</w:t>
            </w:r>
          </w:p>
        </w:tc>
      </w:tr>
      <w:tr w:rsidR="00183C90" w:rsidTr="00183C90">
        <w:tc>
          <w:tcPr>
            <w:tcW w:w="8978" w:type="dxa"/>
          </w:tcPr>
          <w:p w:rsidR="00183C90" w:rsidRDefault="0050202B" w:rsidP="00D2139A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 xml:space="preserve">Interno y externo, </w:t>
            </w:r>
            <w:r w:rsidR="00D2139A">
              <w:rPr>
                <w:rFonts w:cs="Arial"/>
                <w:szCs w:val="24"/>
                <w:shd w:val="clear" w:color="auto" w:fill="FFFFFF"/>
              </w:rPr>
              <w:t>publicado</w:t>
            </w:r>
            <w:r>
              <w:rPr>
                <w:rFonts w:cs="Arial"/>
                <w:szCs w:val="24"/>
                <w:shd w:val="clear" w:color="auto" w:fill="FFFFFF"/>
              </w:rPr>
              <w:t xml:space="preserve"> </w:t>
            </w:r>
          </w:p>
        </w:tc>
      </w:tr>
      <w:tr w:rsidR="004A192E" w:rsidTr="00183C90">
        <w:tc>
          <w:tcPr>
            <w:tcW w:w="8978" w:type="dxa"/>
          </w:tcPr>
          <w:p w:rsidR="004A192E" w:rsidRDefault="004A192E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83C90" w:rsidTr="00183C90">
        <w:tc>
          <w:tcPr>
            <w:tcW w:w="8978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EA3310">
              <w:rPr>
                <w:b/>
                <w:bCs/>
                <w:lang w:val="es-CO"/>
              </w:rPr>
              <w:t>¿A través de qué medios internos o externos sugieren difusión?</w:t>
            </w:r>
          </w:p>
        </w:tc>
      </w:tr>
      <w:tr w:rsidR="00183C90" w:rsidTr="00183C90">
        <w:tc>
          <w:tcPr>
            <w:tcW w:w="8978" w:type="dxa"/>
          </w:tcPr>
          <w:p w:rsidR="00183C90" w:rsidRDefault="00D2139A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en sede electrónica</w:t>
            </w:r>
          </w:p>
        </w:tc>
      </w:tr>
      <w:tr w:rsidR="004A192E" w:rsidTr="00183C90">
        <w:tc>
          <w:tcPr>
            <w:tcW w:w="8978" w:type="dxa"/>
          </w:tcPr>
          <w:p w:rsidR="004A192E" w:rsidRDefault="004A192E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83C90" w:rsidTr="00183C90">
        <w:tc>
          <w:tcPr>
            <w:tcW w:w="8978" w:type="dxa"/>
          </w:tcPr>
          <w:p w:rsidR="00183C90" w:rsidRPr="00EA3310" w:rsidRDefault="00183C90" w:rsidP="002D25C1">
            <w:pPr>
              <w:spacing w:line="360" w:lineRule="auto"/>
              <w:rPr>
                <w:b/>
                <w:bCs/>
                <w:lang w:val="es-CO"/>
              </w:rPr>
            </w:pPr>
            <w:r w:rsidRPr="00EA3310">
              <w:rPr>
                <w:b/>
                <w:bCs/>
                <w:lang w:val="es-CO"/>
              </w:rPr>
              <w:t>¿Qué otra información considera relevante para comunicaciones?</w:t>
            </w:r>
          </w:p>
        </w:tc>
      </w:tr>
      <w:tr w:rsidR="00183C90" w:rsidTr="00183C90">
        <w:tc>
          <w:tcPr>
            <w:tcW w:w="8978" w:type="dxa"/>
          </w:tcPr>
          <w:p w:rsidR="00183C90" w:rsidRDefault="00F34792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sz w:val="24"/>
              </w:rPr>
              <w:t>Publicar como anexo la Resolución N° 001519 de Agosto de 2020, del MINTIC</w:t>
            </w:r>
          </w:p>
        </w:tc>
      </w:tr>
      <w:tr w:rsidR="00183C90" w:rsidTr="00183C90">
        <w:tc>
          <w:tcPr>
            <w:tcW w:w="8978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83C90" w:rsidTr="00183C90">
        <w:tc>
          <w:tcPr>
            <w:tcW w:w="8978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EA3310">
              <w:rPr>
                <w:b/>
                <w:bCs/>
                <w:lang w:val="es-CO"/>
              </w:rPr>
              <w:t>Otros comentarios:</w:t>
            </w:r>
          </w:p>
        </w:tc>
      </w:tr>
      <w:tr w:rsidR="00183C90" w:rsidTr="00183C90">
        <w:tc>
          <w:tcPr>
            <w:tcW w:w="8978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7A19A7" w:rsidRPr="00EA3310" w:rsidRDefault="00CD3A71" w:rsidP="00CD3A71">
      <w:pPr>
        <w:rPr>
          <w:rFonts w:cs="Arial"/>
          <w:i/>
          <w:sz w:val="20"/>
        </w:rPr>
      </w:pPr>
      <w:r w:rsidRPr="00CD3A71">
        <w:rPr>
          <w:b/>
        </w:rPr>
        <w:br/>
      </w:r>
      <w:r w:rsidRPr="0020721E">
        <w:rPr>
          <w:rFonts w:cs="Arial"/>
          <w:b/>
          <w:i/>
          <w:sz w:val="20"/>
        </w:rPr>
        <w:t>Nota:</w:t>
      </w:r>
      <w:r w:rsidRPr="0020721E">
        <w:rPr>
          <w:rFonts w:cs="Arial"/>
          <w:i/>
          <w:sz w:val="20"/>
        </w:rPr>
        <w:t xml:space="preserve"> Tenga en cuenta que los requerimientos deben hacerse al área </w:t>
      </w:r>
      <w:r w:rsidR="00EA3310" w:rsidRPr="0020721E">
        <w:rPr>
          <w:rFonts w:cs="Arial"/>
          <w:i/>
          <w:sz w:val="20"/>
        </w:rPr>
        <w:t>de comunicaciones con</w:t>
      </w:r>
      <w:r w:rsidRPr="0020721E">
        <w:rPr>
          <w:rFonts w:cs="Arial"/>
          <w:i/>
          <w:sz w:val="20"/>
        </w:rPr>
        <w:t xml:space="preserve"> mínimo de (8) días hábiles para garantizar el acompañamiento. Para </w:t>
      </w:r>
      <w:r w:rsidR="007A19A7" w:rsidRPr="0020721E">
        <w:rPr>
          <w:rFonts w:cs="Arial"/>
          <w:i/>
          <w:sz w:val="20"/>
        </w:rPr>
        <w:t>más información</w:t>
      </w:r>
      <w:r w:rsidRPr="0020721E">
        <w:rPr>
          <w:rFonts w:cs="Arial"/>
          <w:i/>
          <w:sz w:val="20"/>
        </w:rPr>
        <w:t xml:space="preserve"> contactar a</w:t>
      </w:r>
      <w:r w:rsidR="007A19A7">
        <w:rPr>
          <w:rFonts w:cs="Arial"/>
          <w:i/>
          <w:sz w:val="20"/>
        </w:rPr>
        <w:t xml:space="preserve">l área de comunicaciones </w:t>
      </w:r>
      <w:r w:rsidRPr="0020721E">
        <w:rPr>
          <w:rFonts w:cs="Arial"/>
          <w:i/>
          <w:sz w:val="20"/>
        </w:rPr>
        <w:t xml:space="preserve">al correo </w:t>
      </w:r>
      <w:hyperlink r:id="rId10" w:history="1">
        <w:r w:rsidRPr="0020721E">
          <w:rPr>
            <w:rStyle w:val="Hipervnculo"/>
            <w:rFonts w:cs="Arial"/>
            <w:i/>
            <w:sz w:val="20"/>
          </w:rPr>
          <w:t>comunicaciones@personeriaitagui.gov.co</w:t>
        </w:r>
      </w:hyperlink>
    </w:p>
    <w:p w:rsidR="007A19A7" w:rsidRDefault="007A19A7" w:rsidP="00CD3A71">
      <w:pPr>
        <w:rPr>
          <w:rFonts w:ascii="Arial Narrow" w:hAnsi="Arial Narrow" w:cs="Arial"/>
          <w:color w:val="808080"/>
          <w:sz w:val="20"/>
        </w:rPr>
      </w:pPr>
    </w:p>
    <w:p w:rsidR="007A19A7" w:rsidRPr="0009623D" w:rsidRDefault="007A19A7" w:rsidP="00CD3A71">
      <w:pPr>
        <w:rPr>
          <w:rFonts w:ascii="Arial Narrow" w:hAnsi="Arial Narrow" w:cs="Arial"/>
          <w:color w:val="808080"/>
          <w:sz w:val="20"/>
        </w:rPr>
      </w:pPr>
    </w:p>
    <w:tbl>
      <w:tblPr>
        <w:tblW w:w="10211" w:type="dxa"/>
        <w:tblLook w:val="01E0"/>
      </w:tblPr>
      <w:tblGrid>
        <w:gridCol w:w="4701"/>
        <w:gridCol w:w="5510"/>
      </w:tblGrid>
      <w:tr w:rsidR="00CD3A71" w:rsidRPr="00164E1E" w:rsidTr="0004615A">
        <w:trPr>
          <w:trHeight w:val="891"/>
        </w:trPr>
        <w:tc>
          <w:tcPr>
            <w:tcW w:w="4701" w:type="dxa"/>
          </w:tcPr>
          <w:p w:rsidR="00CD3A71" w:rsidRPr="0009623D" w:rsidRDefault="00D2139A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  <w:r w:rsidRPr="00D2139A"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857250" cy="403200"/>
                  <wp:effectExtent l="19050" t="0" r="0" b="0"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76" cy="4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 xml:space="preserve">Firma del solicitante </w:t>
            </w:r>
          </w:p>
        </w:tc>
        <w:tc>
          <w:tcPr>
            <w:tcW w:w="5510" w:type="dxa"/>
          </w:tcPr>
          <w:p w:rsidR="00D2139A" w:rsidRDefault="00CD3A71" w:rsidP="00B971E8">
            <w:pPr>
              <w:pStyle w:val="Textopredeterminado"/>
              <w:rPr>
                <w:rFonts w:ascii="Arial" w:hAnsi="Arial"/>
                <w:b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>____</w:t>
            </w: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>___________________________</w:t>
            </w:r>
            <w:r w:rsidRPr="0009623D">
              <w:rPr>
                <w:rFonts w:ascii="Arial" w:hAnsi="Arial"/>
                <w:b/>
                <w:lang w:val="es-CO"/>
              </w:rPr>
              <w:br/>
            </w:r>
            <w:r w:rsidR="00EA3310">
              <w:rPr>
                <w:rFonts w:ascii="Arial" w:hAnsi="Arial"/>
                <w:b/>
                <w:lang w:val="es-CO"/>
              </w:rPr>
              <w:t>VB. Líder de proceso.</w:t>
            </w:r>
          </w:p>
        </w:tc>
      </w:tr>
    </w:tbl>
    <w:p w:rsidR="00CD3A71" w:rsidRDefault="00CD3A71" w:rsidP="00EA3310">
      <w:pPr>
        <w:pStyle w:val="Textopredeterminado"/>
      </w:pPr>
    </w:p>
    <w:sectPr w:rsidR="00CD3A71" w:rsidSect="00E400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127" w:right="1701" w:bottom="226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A12" w:rsidRDefault="00392A12" w:rsidP="00C50F77">
      <w:r>
        <w:separator/>
      </w:r>
    </w:p>
  </w:endnote>
  <w:endnote w:type="continuationSeparator" w:id="0">
    <w:p w:rsidR="00392A12" w:rsidRDefault="00392A12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B971E8" w:rsidRPr="00E25F48" w:rsidTr="00B971E8">
      <w:tc>
        <w:tcPr>
          <w:tcW w:w="579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71E8" w:rsidRPr="00E400A1" w:rsidRDefault="00B971E8" w:rsidP="00E400A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A12" w:rsidRDefault="00392A12" w:rsidP="00C50F77">
      <w:r>
        <w:separator/>
      </w:r>
    </w:p>
  </w:footnote>
  <w:footnote w:type="continuationSeparator" w:id="0">
    <w:p w:rsidR="00392A12" w:rsidRDefault="00392A12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971E8" w:rsidTr="007A19A7">
      <w:trPr>
        <w:trHeight w:hRule="exact" w:val="397"/>
        <w:jc w:val="center"/>
      </w:trPr>
      <w:tc>
        <w:tcPr>
          <w:tcW w:w="2694" w:type="dxa"/>
          <w:vMerge w:val="restart"/>
        </w:tcPr>
        <w:p w:rsidR="00B971E8" w:rsidRDefault="00B971E8" w:rsidP="007A19A7"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B971E8" w:rsidRPr="004A1330" w:rsidRDefault="00B971E8" w:rsidP="007A19A7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SOLICITUD A COMUNICACIONES</w:t>
          </w: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FGC-04</w:t>
          </w:r>
        </w:p>
      </w:tc>
    </w:tr>
    <w:tr w:rsidR="00B971E8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>: 04</w:t>
          </w:r>
        </w:p>
      </w:tc>
    </w:tr>
    <w:tr w:rsidR="00B971E8" w:rsidRPr="00805464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05464" w:rsidRDefault="00B971E8" w:rsidP="001D742A">
          <w:pPr>
            <w:rPr>
              <w:rFonts w:cs="Arial"/>
            </w:rPr>
          </w:pPr>
          <w:r>
            <w:rPr>
              <w:rFonts w:cs="Arial"/>
              <w:sz w:val="22"/>
              <w:szCs w:val="22"/>
            </w:rPr>
            <w:t>Fecha: 24/02/2022</w:t>
          </w:r>
        </w:p>
      </w:tc>
    </w:tr>
  </w:tbl>
  <w:p w:rsidR="00B971E8" w:rsidRDefault="00B971E8" w:rsidP="0004615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6122E"/>
    <w:multiLevelType w:val="multilevel"/>
    <w:tmpl w:val="E60051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4615A"/>
    <w:rsid w:val="00051BEE"/>
    <w:rsid w:val="0005737B"/>
    <w:rsid w:val="000B00C6"/>
    <w:rsid w:val="000D5D5F"/>
    <w:rsid w:val="00183C90"/>
    <w:rsid w:val="001C2814"/>
    <w:rsid w:val="001D742A"/>
    <w:rsid w:val="0020721E"/>
    <w:rsid w:val="00216A1E"/>
    <w:rsid w:val="002716E6"/>
    <w:rsid w:val="002A40EE"/>
    <w:rsid w:val="002A6155"/>
    <w:rsid w:val="002D25C1"/>
    <w:rsid w:val="002D532E"/>
    <w:rsid w:val="002E4885"/>
    <w:rsid w:val="00321A50"/>
    <w:rsid w:val="003259B9"/>
    <w:rsid w:val="003722DD"/>
    <w:rsid w:val="00377F3E"/>
    <w:rsid w:val="00392A12"/>
    <w:rsid w:val="003F465A"/>
    <w:rsid w:val="00406903"/>
    <w:rsid w:val="004A192E"/>
    <w:rsid w:val="004A7906"/>
    <w:rsid w:val="0050202B"/>
    <w:rsid w:val="005145D4"/>
    <w:rsid w:val="00523A39"/>
    <w:rsid w:val="00557AE9"/>
    <w:rsid w:val="00563D6C"/>
    <w:rsid w:val="005C4181"/>
    <w:rsid w:val="005D2F82"/>
    <w:rsid w:val="00600EAF"/>
    <w:rsid w:val="006360F6"/>
    <w:rsid w:val="0066770D"/>
    <w:rsid w:val="006748CD"/>
    <w:rsid w:val="0067622D"/>
    <w:rsid w:val="006A2518"/>
    <w:rsid w:val="006D3A07"/>
    <w:rsid w:val="007A19A7"/>
    <w:rsid w:val="007C7F0A"/>
    <w:rsid w:val="008C1AEA"/>
    <w:rsid w:val="00A04D91"/>
    <w:rsid w:val="00A22B32"/>
    <w:rsid w:val="00A40113"/>
    <w:rsid w:val="00A552F7"/>
    <w:rsid w:val="00A61741"/>
    <w:rsid w:val="00B02E79"/>
    <w:rsid w:val="00B04728"/>
    <w:rsid w:val="00B56B90"/>
    <w:rsid w:val="00B971E8"/>
    <w:rsid w:val="00BB4231"/>
    <w:rsid w:val="00C307E4"/>
    <w:rsid w:val="00C47ED9"/>
    <w:rsid w:val="00C50F77"/>
    <w:rsid w:val="00CB4E1D"/>
    <w:rsid w:val="00CD3A71"/>
    <w:rsid w:val="00D2139A"/>
    <w:rsid w:val="00D61568"/>
    <w:rsid w:val="00E32399"/>
    <w:rsid w:val="00E33220"/>
    <w:rsid w:val="00E400A1"/>
    <w:rsid w:val="00E643E2"/>
    <w:rsid w:val="00E75DDF"/>
    <w:rsid w:val="00EA2442"/>
    <w:rsid w:val="00EA3310"/>
    <w:rsid w:val="00F10855"/>
    <w:rsid w:val="00F34792"/>
    <w:rsid w:val="00F37CD3"/>
    <w:rsid w:val="00F43CF3"/>
    <w:rsid w:val="00FB2318"/>
    <w:rsid w:val="00FB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Textopredeterminado">
    <w:name w:val="Texto predeterminado"/>
    <w:basedOn w:val="Normal"/>
    <w:rsid w:val="00CD3A71"/>
    <w:pPr>
      <w:autoSpaceDE w:val="0"/>
      <w:autoSpaceDN w:val="0"/>
      <w:adjustRightInd w:val="0"/>
      <w:jc w:val="left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1"/>
    <w:qFormat/>
    <w:rsid w:val="005020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personeriaitagui.gov.c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municaciones@personeriaitagui.gov.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ntrolinterno@personeriaitagui.gov.c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1082-3CA7-4C14-9E74-6D3E2E63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11</cp:revision>
  <cp:lastPrinted>2019-09-23T22:10:00Z</cp:lastPrinted>
  <dcterms:created xsi:type="dcterms:W3CDTF">2019-09-23T22:12:00Z</dcterms:created>
  <dcterms:modified xsi:type="dcterms:W3CDTF">2023-06-05T15:42:00Z</dcterms:modified>
</cp:coreProperties>
</file>