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D8F" w:rsidRDefault="00F35DBC">
      <w:r>
        <w:t>AUDITORIA PROCESO DE contratación</w:t>
      </w:r>
    </w:p>
    <w:p w:rsidR="00F35DBC" w:rsidRDefault="00F35DBC"/>
    <w:p w:rsidR="00932046" w:rsidRDefault="00932046" w:rsidP="00932046">
      <w:pPr>
        <w:pStyle w:val="NormalWeb"/>
        <w:shd w:val="clear" w:color="auto" w:fill="FFFFFF"/>
        <w:jc w:val="center"/>
        <w:rPr>
          <w:rFonts w:ascii="Arial" w:hAnsi="Arial" w:cs="Arial"/>
          <w:color w:val="333333"/>
          <w:sz w:val="28"/>
          <w:szCs w:val="28"/>
        </w:rPr>
      </w:pPr>
      <w:r>
        <w:rPr>
          <w:rStyle w:val="Textoennegrita"/>
          <w:rFonts w:ascii="Arial" w:hAnsi="Arial" w:cs="Arial"/>
          <w:color w:val="333333"/>
          <w:sz w:val="28"/>
          <w:szCs w:val="28"/>
        </w:rPr>
        <w:t>SUBSECCIÓN 7</w:t>
      </w:r>
    </w:p>
    <w:p w:rsidR="00932046" w:rsidRDefault="00932046" w:rsidP="00932046">
      <w:pPr>
        <w:pStyle w:val="NormalWeb"/>
        <w:shd w:val="clear" w:color="auto" w:fill="FFFFFF"/>
        <w:jc w:val="center"/>
        <w:rPr>
          <w:rFonts w:ascii="Arial" w:hAnsi="Arial" w:cs="Arial"/>
          <w:color w:val="333333"/>
          <w:sz w:val="28"/>
          <w:szCs w:val="28"/>
        </w:rPr>
      </w:pPr>
      <w:r>
        <w:rPr>
          <w:rStyle w:val="Textoennegrita"/>
          <w:rFonts w:ascii="Arial" w:hAnsi="Arial" w:cs="Arial"/>
          <w:color w:val="333333"/>
          <w:sz w:val="28"/>
          <w:szCs w:val="28"/>
        </w:rPr>
        <w:t>PUBLICIDAD</w:t>
      </w:r>
    </w:p>
    <w:p w:rsidR="00932046" w:rsidRDefault="00932046" w:rsidP="00932046">
      <w:pPr>
        <w:pStyle w:val="NormalWeb"/>
        <w:shd w:val="clear" w:color="auto" w:fill="FFFFFF"/>
        <w:rPr>
          <w:rFonts w:ascii="Arial" w:hAnsi="Arial" w:cs="Arial"/>
          <w:color w:val="333333"/>
          <w:sz w:val="28"/>
          <w:szCs w:val="28"/>
        </w:rPr>
      </w:pPr>
      <w:r>
        <w:rPr>
          <w:rStyle w:val="Textoennegrita"/>
          <w:rFonts w:ascii="Arial" w:hAnsi="Arial" w:cs="Arial"/>
          <w:color w:val="333333"/>
          <w:sz w:val="28"/>
          <w:szCs w:val="28"/>
        </w:rPr>
        <w:t>ARTÍCULO </w:t>
      </w:r>
      <w:bookmarkStart w:id="0" w:name="2.2.1.1.1.7.1"/>
      <w:bookmarkEnd w:id="0"/>
      <w:r>
        <w:rPr>
          <w:rStyle w:val="Textoennegrita"/>
          <w:rFonts w:ascii="Arial" w:hAnsi="Arial" w:cs="Arial"/>
          <w:color w:val="333333"/>
          <w:sz w:val="28"/>
          <w:szCs w:val="28"/>
        </w:rPr>
        <w:t>2.2.1.1.1.7.1.</w:t>
      </w:r>
      <w:r>
        <w:rPr>
          <w:rFonts w:ascii="Arial" w:hAnsi="Arial" w:cs="Arial"/>
          <w:color w:val="333333"/>
          <w:sz w:val="28"/>
          <w:szCs w:val="28"/>
        </w:rPr>
        <w:t> </w:t>
      </w:r>
      <w:r>
        <w:rPr>
          <w:rStyle w:val="nfasis"/>
          <w:rFonts w:ascii="Arial" w:hAnsi="Arial" w:cs="Arial"/>
          <w:b/>
          <w:bCs/>
          <w:color w:val="333333"/>
          <w:sz w:val="28"/>
          <w:szCs w:val="28"/>
        </w:rPr>
        <w:t>Publicidad en el SECOP.</w:t>
      </w:r>
      <w:r>
        <w:rPr>
          <w:rFonts w:ascii="Arial" w:hAnsi="Arial" w:cs="Arial"/>
          <w:color w:val="333333"/>
          <w:sz w:val="28"/>
          <w:szCs w:val="28"/>
        </w:rPr>
        <w:t> La Entidad Estatal está obligada a publicar en el SECOP los Documentos del Proceso y los actos administrativos del Proceso de Contratación, dentro de los tres (3) días siguientes a su expedición. La oferta que debe ser publicada es la del adjudicatario del Proceso de Contratación. Los documentos de las operaciones que se realicen en bolsa de productos no tienen que ser publicados en el SECOP.</w:t>
      </w:r>
    </w:p>
    <w:p w:rsidR="00932046" w:rsidRDefault="00932046" w:rsidP="00932046">
      <w:pPr>
        <w:pStyle w:val="NormalWeb"/>
        <w:shd w:val="clear" w:color="auto" w:fill="FFFFFF"/>
        <w:rPr>
          <w:rFonts w:ascii="Arial" w:hAnsi="Arial" w:cs="Arial"/>
          <w:color w:val="333333"/>
          <w:sz w:val="28"/>
          <w:szCs w:val="28"/>
        </w:rPr>
      </w:pPr>
      <w:r>
        <w:rPr>
          <w:rFonts w:ascii="Arial" w:hAnsi="Arial" w:cs="Arial"/>
          <w:color w:val="333333"/>
          <w:sz w:val="28"/>
          <w:szCs w:val="28"/>
        </w:rPr>
        <w:t>La Entidad Estatal está obligada a publicar oportunamente el aviso de convocatoria o la invitación en los Procesos de Contratación de mínima cuantía y el proyecto de pliegos de condiciones en el SECOP para que los interesados en el Proceso de Contratación puedan presentar observaciones o solicitar aclaraciones en el término previsto para el efecto en el artículo 2.2.1.1.2.1.4 del presente decreto.</w:t>
      </w:r>
    </w:p>
    <w:p w:rsidR="00932046" w:rsidRDefault="00932046" w:rsidP="00932046">
      <w:pPr>
        <w:pStyle w:val="NormalWeb"/>
        <w:shd w:val="clear" w:color="auto" w:fill="FFFFFF"/>
        <w:rPr>
          <w:rFonts w:ascii="Arial" w:hAnsi="Arial" w:cs="Arial"/>
          <w:color w:val="333333"/>
          <w:sz w:val="28"/>
          <w:szCs w:val="28"/>
        </w:rPr>
      </w:pPr>
      <w:r>
        <w:rPr>
          <w:rStyle w:val="nfasis"/>
          <w:rFonts w:ascii="Arial" w:hAnsi="Arial" w:cs="Arial"/>
          <w:color w:val="333333"/>
          <w:sz w:val="28"/>
          <w:szCs w:val="28"/>
        </w:rPr>
        <w:t>(Decreto 1510 de 2013, artículo </w:t>
      </w:r>
      <w:hyperlink r:id="rId4" w:anchor="19" w:tooltip="vinculo" w:history="1">
        <w:r>
          <w:rPr>
            <w:rStyle w:val="Hipervnculo"/>
            <w:rFonts w:ascii="Arial" w:hAnsi="Arial" w:cs="Arial"/>
            <w:i/>
            <w:iCs/>
            <w:color w:val="007BFF"/>
            <w:sz w:val="28"/>
            <w:szCs w:val="28"/>
            <w:u w:val="none"/>
          </w:rPr>
          <w:t>19</w:t>
        </w:r>
      </w:hyperlink>
      <w:r>
        <w:rPr>
          <w:rStyle w:val="nfasis"/>
          <w:rFonts w:ascii="Arial" w:hAnsi="Arial" w:cs="Arial"/>
          <w:color w:val="333333"/>
          <w:sz w:val="28"/>
          <w:szCs w:val="28"/>
        </w:rPr>
        <w:t>)</w:t>
      </w:r>
    </w:p>
    <w:p w:rsidR="00932046" w:rsidRDefault="00932046" w:rsidP="00932046">
      <w:pPr>
        <w:pStyle w:val="NormalWeb"/>
        <w:shd w:val="clear" w:color="auto" w:fill="FFFFFF"/>
        <w:rPr>
          <w:rFonts w:ascii="Arial" w:hAnsi="Arial" w:cs="Arial"/>
          <w:color w:val="333333"/>
          <w:sz w:val="28"/>
          <w:szCs w:val="28"/>
        </w:rPr>
      </w:pPr>
      <w:r>
        <w:rPr>
          <w:rStyle w:val="Textoennegrita"/>
          <w:rFonts w:ascii="Arial" w:hAnsi="Arial" w:cs="Arial"/>
          <w:color w:val="333333"/>
          <w:sz w:val="28"/>
          <w:szCs w:val="28"/>
        </w:rPr>
        <w:t>ARTÍCULO</w:t>
      </w:r>
      <w:bookmarkStart w:id="1" w:name="2.2.1.1.1.7.2"/>
      <w:bookmarkEnd w:id="1"/>
      <w:r>
        <w:rPr>
          <w:rStyle w:val="Textoennegrita"/>
          <w:rFonts w:ascii="Arial" w:hAnsi="Arial" w:cs="Arial"/>
          <w:color w:val="333333"/>
          <w:sz w:val="28"/>
          <w:szCs w:val="28"/>
        </w:rPr>
        <w:t> 2.2.1.1.1.7.2. Estampillas Electrónicas</w:t>
      </w:r>
      <w:r>
        <w:rPr>
          <w:rFonts w:ascii="Arial" w:hAnsi="Arial" w:cs="Arial"/>
          <w:color w:val="333333"/>
          <w:sz w:val="28"/>
          <w:szCs w:val="28"/>
        </w:rPr>
        <w:t>. Con el fin de garantizar la publicidad y centralización de la información contractual del Estado colombiano, la Agencia Nacional de Contratación Pública - Colombia Compra Eficiente integrará al Sistema Electrónico de Contratación Pública (SECOP), o la plataforma que haga sus veces, un sistema que permita la implementación y funcionamiento de la desmaterialización y automatización de las estampillas electrónicas. Este sistema será aplicable de manera exclusiva a los contratos y/o negocios jurídicos que se encuentren gravados con un tributo de estampilla y sean celebrados con las entidades públicas.</w:t>
      </w:r>
    </w:p>
    <w:p w:rsidR="00932046" w:rsidRDefault="00932046" w:rsidP="00932046">
      <w:pPr>
        <w:pStyle w:val="NormalWeb"/>
        <w:shd w:val="clear" w:color="auto" w:fill="FFFFFF"/>
        <w:rPr>
          <w:rFonts w:ascii="Arial" w:hAnsi="Arial" w:cs="Arial"/>
          <w:color w:val="333333"/>
          <w:sz w:val="28"/>
          <w:szCs w:val="28"/>
        </w:rPr>
      </w:pPr>
      <w:r>
        <w:rPr>
          <w:rFonts w:ascii="Arial" w:hAnsi="Arial" w:cs="Arial"/>
          <w:color w:val="333333"/>
          <w:sz w:val="28"/>
          <w:szCs w:val="28"/>
        </w:rPr>
        <w:t>La Agencia Nacional de Contratación Pública - Colombia Compra Eficiente establecerá un único formato para representar las estampillas electrónicas, lo cual será incorporado al SECOP, o la plataforma que haga sus veces.</w:t>
      </w:r>
    </w:p>
    <w:p w:rsidR="00932046" w:rsidRDefault="00932046" w:rsidP="00932046">
      <w:pPr>
        <w:pStyle w:val="NormalWeb"/>
        <w:shd w:val="clear" w:color="auto" w:fill="FFFFFF"/>
        <w:rPr>
          <w:rFonts w:ascii="Arial" w:hAnsi="Arial" w:cs="Arial"/>
          <w:color w:val="333333"/>
          <w:sz w:val="28"/>
          <w:szCs w:val="28"/>
        </w:rPr>
      </w:pPr>
      <w:r>
        <w:rPr>
          <w:rStyle w:val="Textoennegrita"/>
          <w:rFonts w:ascii="Arial" w:hAnsi="Arial" w:cs="Arial"/>
          <w:color w:val="333333"/>
          <w:sz w:val="28"/>
          <w:szCs w:val="28"/>
        </w:rPr>
        <w:lastRenderedPageBreak/>
        <w:t>PARÁGRAFO </w:t>
      </w:r>
      <w:bookmarkStart w:id="2" w:name="2.2.1.1.1.7.2.pt1"/>
      <w:bookmarkEnd w:id="2"/>
      <w:r>
        <w:rPr>
          <w:rStyle w:val="Textoennegrita"/>
          <w:rFonts w:ascii="Arial" w:hAnsi="Arial" w:cs="Arial"/>
          <w:color w:val="333333"/>
          <w:sz w:val="28"/>
          <w:szCs w:val="28"/>
        </w:rPr>
        <w:t>1.</w:t>
      </w:r>
      <w:r>
        <w:rPr>
          <w:rFonts w:ascii="Arial" w:hAnsi="Arial" w:cs="Arial"/>
          <w:color w:val="333333"/>
          <w:sz w:val="28"/>
          <w:szCs w:val="28"/>
        </w:rPr>
        <w:t> La Agencia Nacional de Contratación Pública - Colombia Compra Eficiente no tendrá a su cargo funciones de recaudo o liquidación de las estampillas, lo cual continuará siendo de competencia exclusiva de las entidades o instancias definidas por la ley para cada estampilla, según corresponda.</w:t>
      </w:r>
    </w:p>
    <w:p w:rsidR="00932046" w:rsidRDefault="00932046" w:rsidP="00932046">
      <w:pPr>
        <w:pStyle w:val="NormalWeb"/>
        <w:shd w:val="clear" w:color="auto" w:fill="FFFFFF"/>
        <w:rPr>
          <w:rFonts w:ascii="Arial" w:hAnsi="Arial" w:cs="Arial"/>
          <w:color w:val="333333"/>
          <w:sz w:val="28"/>
          <w:szCs w:val="28"/>
        </w:rPr>
      </w:pPr>
      <w:r>
        <w:rPr>
          <w:rStyle w:val="Textoennegrita"/>
          <w:rFonts w:ascii="Arial" w:hAnsi="Arial" w:cs="Arial"/>
          <w:color w:val="333333"/>
          <w:sz w:val="28"/>
          <w:szCs w:val="28"/>
        </w:rPr>
        <w:t>PARÁGRAFO </w:t>
      </w:r>
      <w:bookmarkStart w:id="3" w:name="2.2.1.1.1.7.2.pt2"/>
      <w:bookmarkEnd w:id="3"/>
      <w:r>
        <w:rPr>
          <w:rStyle w:val="Textoennegrita"/>
          <w:rFonts w:ascii="Arial" w:hAnsi="Arial" w:cs="Arial"/>
          <w:color w:val="333333"/>
          <w:sz w:val="28"/>
          <w:szCs w:val="28"/>
        </w:rPr>
        <w:t>2.</w:t>
      </w:r>
      <w:r>
        <w:rPr>
          <w:rFonts w:ascii="Arial" w:hAnsi="Arial" w:cs="Arial"/>
          <w:color w:val="333333"/>
          <w:sz w:val="28"/>
          <w:szCs w:val="28"/>
        </w:rPr>
        <w:t> La obligación de adherir o anular las estampillas electrónicas, estará a cargo del funcionario que intervenga en la suscripción de los actos o en los hechos sujetos a gravamen.</w:t>
      </w:r>
    </w:p>
    <w:p w:rsidR="00932046" w:rsidRDefault="00932046" w:rsidP="00932046">
      <w:pPr>
        <w:pStyle w:val="NormalWeb"/>
        <w:shd w:val="clear" w:color="auto" w:fill="FFFFFF"/>
        <w:rPr>
          <w:rFonts w:ascii="Arial" w:hAnsi="Arial" w:cs="Arial"/>
          <w:color w:val="333333"/>
          <w:sz w:val="28"/>
          <w:szCs w:val="28"/>
        </w:rPr>
      </w:pPr>
      <w:r>
        <w:rPr>
          <w:rStyle w:val="Textoennegrita"/>
          <w:rFonts w:ascii="Arial" w:hAnsi="Arial" w:cs="Arial"/>
          <w:color w:val="333333"/>
          <w:sz w:val="28"/>
          <w:szCs w:val="28"/>
        </w:rPr>
        <w:t>PARÁGRAFO </w:t>
      </w:r>
      <w:bookmarkStart w:id="4" w:name="2.2.1.1.1.7.2.pt3"/>
      <w:bookmarkEnd w:id="4"/>
      <w:r>
        <w:rPr>
          <w:rStyle w:val="Textoennegrita"/>
          <w:rFonts w:ascii="Arial" w:hAnsi="Arial" w:cs="Arial"/>
          <w:color w:val="333333"/>
          <w:sz w:val="28"/>
          <w:szCs w:val="28"/>
        </w:rPr>
        <w:t>3.</w:t>
      </w:r>
      <w:r>
        <w:rPr>
          <w:rFonts w:ascii="Arial" w:hAnsi="Arial" w:cs="Arial"/>
          <w:color w:val="333333"/>
          <w:sz w:val="28"/>
          <w:szCs w:val="28"/>
        </w:rPr>
        <w:t> Al momento de adoptar las estampillas electrónicas en los términos establecidos en el artículo </w:t>
      </w:r>
      <w:hyperlink r:id="rId5" w:anchor="13" w:history="1">
        <w:r>
          <w:rPr>
            <w:rStyle w:val="Hipervnculo"/>
            <w:rFonts w:ascii="Arial" w:hAnsi="Arial" w:cs="Arial"/>
            <w:color w:val="007BFF"/>
            <w:sz w:val="28"/>
            <w:szCs w:val="28"/>
            <w:u w:val="none"/>
          </w:rPr>
          <w:t>13 </w:t>
        </w:r>
      </w:hyperlink>
      <w:r>
        <w:rPr>
          <w:rFonts w:ascii="Arial" w:hAnsi="Arial" w:cs="Arial"/>
          <w:color w:val="333333"/>
          <w:sz w:val="28"/>
          <w:szCs w:val="28"/>
        </w:rPr>
        <w:t>de la Ley 2052 de 2020 y en el presente artículo, los entes territoriales que tengan sistemas electrónicos propios para la gestión de las estampillas, deberán integrarlos al SECOP, o la plataforma que haga sus veces, para que su funcionamiento continúe de forma interoperable entre las dos plataformas.</w:t>
      </w:r>
    </w:p>
    <w:p w:rsidR="00932046" w:rsidRDefault="00932046" w:rsidP="00932046">
      <w:pPr>
        <w:pStyle w:val="NormalWeb"/>
        <w:shd w:val="clear" w:color="auto" w:fill="FFFFFF"/>
        <w:rPr>
          <w:rFonts w:ascii="Arial" w:hAnsi="Arial" w:cs="Arial"/>
          <w:color w:val="333333"/>
          <w:sz w:val="28"/>
          <w:szCs w:val="28"/>
        </w:rPr>
      </w:pPr>
      <w:r>
        <w:rPr>
          <w:rStyle w:val="Textoennegrita"/>
          <w:rFonts w:ascii="Arial" w:hAnsi="Arial" w:cs="Arial"/>
          <w:color w:val="333333"/>
          <w:sz w:val="28"/>
          <w:szCs w:val="28"/>
        </w:rPr>
        <w:t>PARÁGRAFO </w:t>
      </w:r>
      <w:bookmarkStart w:id="5" w:name="2.2.1.1.1.7.2.pt4"/>
      <w:bookmarkEnd w:id="5"/>
      <w:r>
        <w:rPr>
          <w:rStyle w:val="Textoennegrita"/>
          <w:rFonts w:ascii="Arial" w:hAnsi="Arial" w:cs="Arial"/>
          <w:color w:val="333333"/>
          <w:sz w:val="28"/>
          <w:szCs w:val="28"/>
        </w:rPr>
        <w:t>4.</w:t>
      </w:r>
      <w:r>
        <w:rPr>
          <w:rFonts w:ascii="Arial" w:hAnsi="Arial" w:cs="Arial"/>
          <w:color w:val="333333"/>
          <w:sz w:val="28"/>
          <w:szCs w:val="28"/>
        </w:rPr>
        <w:t> El gasto que le conlleve a la Agencia Nacional de Contratación Pública - Colombia Compra Eficiente lo dispuesto en el presente artículo, quedará sujeto a las disponibilidades presupuestales existentes en el Marco de Gasto de Mediano Plazo del sector."</w:t>
      </w:r>
    </w:p>
    <w:p w:rsidR="00932046" w:rsidRDefault="00932046" w:rsidP="00932046">
      <w:pPr>
        <w:pStyle w:val="NormalWeb"/>
        <w:shd w:val="clear" w:color="auto" w:fill="FFFFFF"/>
        <w:rPr>
          <w:rFonts w:ascii="Arial" w:hAnsi="Arial" w:cs="Arial"/>
          <w:color w:val="333333"/>
          <w:sz w:val="28"/>
          <w:szCs w:val="28"/>
        </w:rPr>
      </w:pPr>
      <w:r>
        <w:rPr>
          <w:rFonts w:ascii="Arial" w:hAnsi="Arial" w:cs="Arial"/>
          <w:color w:val="333333"/>
          <w:sz w:val="28"/>
          <w:szCs w:val="28"/>
        </w:rPr>
        <w:t>(Adicionado por el Art. </w:t>
      </w:r>
      <w:hyperlink r:id="rId6" w:anchor="1" w:history="1">
        <w:r>
          <w:rPr>
            <w:rStyle w:val="Hipervnculo"/>
            <w:rFonts w:ascii="Arial" w:hAnsi="Arial" w:cs="Arial"/>
            <w:color w:val="007BFF"/>
            <w:sz w:val="28"/>
            <w:szCs w:val="28"/>
            <w:u w:val="none"/>
          </w:rPr>
          <w:t>1 </w:t>
        </w:r>
      </w:hyperlink>
      <w:r>
        <w:rPr>
          <w:rFonts w:ascii="Arial" w:hAnsi="Arial" w:cs="Arial"/>
          <w:color w:val="333333"/>
          <w:sz w:val="28"/>
          <w:szCs w:val="28"/>
        </w:rPr>
        <w:t>del Decreto 1798 de 2021)</w:t>
      </w:r>
    </w:p>
    <w:p w:rsidR="00F35DBC" w:rsidRDefault="00F35DBC"/>
    <w:sectPr w:rsidR="00F35DBC" w:rsidSect="00033D8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35DBC"/>
    <w:rsid w:val="00033D8F"/>
    <w:rsid w:val="00095D74"/>
    <w:rsid w:val="0016363B"/>
    <w:rsid w:val="0022145B"/>
    <w:rsid w:val="00232F22"/>
    <w:rsid w:val="003C550D"/>
    <w:rsid w:val="003D32EE"/>
    <w:rsid w:val="00732EB8"/>
    <w:rsid w:val="007F08D1"/>
    <w:rsid w:val="00932046"/>
    <w:rsid w:val="00B14B94"/>
    <w:rsid w:val="00C341CC"/>
    <w:rsid w:val="00E56E9B"/>
    <w:rsid w:val="00E8287E"/>
    <w:rsid w:val="00F35DBC"/>
    <w:rsid w:val="00F72D30"/>
    <w:rsid w:val="00FB30E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D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3204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32046"/>
    <w:rPr>
      <w:b/>
      <w:bCs/>
    </w:rPr>
  </w:style>
  <w:style w:type="character" w:styleId="nfasis">
    <w:name w:val="Emphasis"/>
    <w:basedOn w:val="Fuentedeprrafopredeter"/>
    <w:uiPriority w:val="20"/>
    <w:qFormat/>
    <w:rsid w:val="00932046"/>
    <w:rPr>
      <w:i/>
      <w:iCs/>
    </w:rPr>
  </w:style>
  <w:style w:type="character" w:styleId="Hipervnculo">
    <w:name w:val="Hyperlink"/>
    <w:basedOn w:val="Fuentedeprrafopredeter"/>
    <w:uiPriority w:val="99"/>
    <w:semiHidden/>
    <w:unhideWhenUsed/>
    <w:rsid w:val="00932046"/>
    <w:rPr>
      <w:color w:val="0000FF"/>
      <w:u w:val="single"/>
    </w:rPr>
  </w:style>
</w:styles>
</file>

<file path=word/webSettings.xml><?xml version="1.0" encoding="utf-8"?>
<w:webSettings xmlns:r="http://schemas.openxmlformats.org/officeDocument/2006/relationships" xmlns:w="http://schemas.openxmlformats.org/wordprocessingml/2006/main">
  <w:divs>
    <w:div w:id="10671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ncionpublica.gov.co/eva/gestornormativo/norma.php?i=175147" TargetMode="External"/><Relationship Id="rId5" Type="http://schemas.openxmlformats.org/officeDocument/2006/relationships/hyperlink" Target="https://www.funcionpublica.gov.co/eva/gestornormativo/norma.php?i=140250" TargetMode="External"/><Relationship Id="rId4" Type="http://schemas.openxmlformats.org/officeDocument/2006/relationships/hyperlink" Target="https://www.funcionpublica.gov.co/eva/gestornormativo/norma.php?i=5377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514</Words>
  <Characters>2828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63502132</dc:creator>
  <cp:lastModifiedBy>63502132</cp:lastModifiedBy>
  <cp:revision>1</cp:revision>
  <dcterms:created xsi:type="dcterms:W3CDTF">2024-03-13T20:19:00Z</dcterms:created>
  <dcterms:modified xsi:type="dcterms:W3CDTF">2024-03-13T20:45:00Z</dcterms:modified>
</cp:coreProperties>
</file>