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4732"/>
        <w:gridCol w:w="2127"/>
      </w:tblGrid>
      <w:tr w:rsidR="00FF35F2" w:rsidRPr="00C65E3A" w:rsidTr="00FF35F2">
        <w:trPr>
          <w:trHeight w:hRule="exact" w:val="436"/>
        </w:trPr>
        <w:tc>
          <w:tcPr>
            <w:tcW w:w="2781" w:type="dxa"/>
            <w:vMerge w:val="restart"/>
          </w:tcPr>
          <w:p w:rsidR="00FF35F2" w:rsidRPr="00C65E3A" w:rsidRDefault="00532A0A" w:rsidP="00D056B2">
            <w:pPr>
              <w:rPr>
                <w:rFonts w:cs="Arial"/>
                <w:szCs w:val="24"/>
              </w:rPr>
            </w:pPr>
            <w:r w:rsidRPr="00532A0A">
              <w:rPr>
                <w:rFonts w:cs="Arial"/>
                <w:noProof/>
                <w:lang w:val="es-CO" w:eastAsia="es-CO"/>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732" w:type="dxa"/>
            <w:vMerge w:val="restart"/>
            <w:vAlign w:val="center"/>
          </w:tcPr>
          <w:p w:rsidR="00FF35F2" w:rsidRPr="00C65E3A" w:rsidRDefault="00D056B2" w:rsidP="00D056B2">
            <w:pPr>
              <w:jc w:val="center"/>
              <w:rPr>
                <w:rFonts w:cs="Arial"/>
                <w:b/>
                <w:szCs w:val="24"/>
                <w:lang w:val="es-CO"/>
              </w:rPr>
            </w:pPr>
            <w:r>
              <w:rPr>
                <w:rFonts w:cs="Arial"/>
                <w:b/>
                <w:szCs w:val="24"/>
              </w:rPr>
              <w:t>PROCEDIMIENTO PARA DAR TRAMITE A UNA QUEJA QUE PUEDA CONSTITUIRSE COMO ACOSO LABORAL</w:t>
            </w:r>
            <w:r w:rsidR="00FF35F2" w:rsidRPr="00C65E3A">
              <w:rPr>
                <w:rFonts w:cs="Arial"/>
                <w:b/>
                <w:szCs w:val="24"/>
              </w:rPr>
              <w:t xml:space="preserve"> </w:t>
            </w:r>
          </w:p>
        </w:tc>
        <w:tc>
          <w:tcPr>
            <w:tcW w:w="2127" w:type="dxa"/>
            <w:vAlign w:val="center"/>
          </w:tcPr>
          <w:p w:rsidR="00FF35F2" w:rsidRPr="00A73C0B" w:rsidRDefault="00FF35F2" w:rsidP="00D056B2">
            <w:pPr>
              <w:rPr>
                <w:rFonts w:cs="Arial"/>
                <w:b/>
                <w:szCs w:val="22"/>
              </w:rPr>
            </w:pPr>
            <w:r w:rsidRPr="00A73C0B">
              <w:rPr>
                <w:rFonts w:cs="Arial"/>
                <w:b/>
                <w:sz w:val="22"/>
                <w:szCs w:val="22"/>
                <w:lang w:val="es-CO"/>
              </w:rPr>
              <w:t>Código</w:t>
            </w:r>
            <w:r w:rsidRPr="00A73C0B">
              <w:rPr>
                <w:rFonts w:cs="Arial"/>
                <w:b/>
                <w:sz w:val="22"/>
                <w:szCs w:val="22"/>
              </w:rPr>
              <w:t xml:space="preserve">: </w:t>
            </w:r>
            <w:r w:rsidR="00A36F1A">
              <w:rPr>
                <w:rFonts w:cs="Arial"/>
                <w:b/>
                <w:sz w:val="22"/>
                <w:szCs w:val="22"/>
              </w:rPr>
              <w:t>P</w:t>
            </w:r>
            <w:r w:rsidR="00532A0A">
              <w:rPr>
                <w:rFonts w:cs="Arial"/>
                <w:b/>
                <w:sz w:val="22"/>
                <w:szCs w:val="22"/>
              </w:rPr>
              <w:t>TH-</w:t>
            </w:r>
            <w:r w:rsidR="00A36F1A">
              <w:rPr>
                <w:rFonts w:cs="Arial"/>
                <w:b/>
                <w:sz w:val="22"/>
                <w:szCs w:val="22"/>
              </w:rPr>
              <w:t>08</w:t>
            </w:r>
          </w:p>
          <w:p w:rsidR="00FF35F2" w:rsidRPr="00A73C0B" w:rsidRDefault="00FF35F2" w:rsidP="00D056B2">
            <w:pPr>
              <w:rPr>
                <w:rFonts w:cs="Arial"/>
                <w:b/>
                <w:szCs w:val="22"/>
              </w:rPr>
            </w:pPr>
          </w:p>
          <w:p w:rsidR="00FF35F2" w:rsidRPr="00A73C0B" w:rsidRDefault="00FF35F2" w:rsidP="00D056B2">
            <w:pPr>
              <w:rPr>
                <w:rFonts w:cs="Arial"/>
                <w:b/>
                <w:szCs w:val="22"/>
              </w:rPr>
            </w:pPr>
            <w:r w:rsidRPr="00A73C0B">
              <w:rPr>
                <w:rFonts w:cs="Arial"/>
                <w:b/>
                <w:sz w:val="22"/>
                <w:szCs w:val="22"/>
                <w:lang w:val="es-CO"/>
              </w:rPr>
              <w:t>Fecha</w:t>
            </w:r>
            <w:r w:rsidRPr="00A73C0B">
              <w:rPr>
                <w:rFonts w:cs="Arial"/>
                <w:b/>
                <w:sz w:val="22"/>
                <w:szCs w:val="22"/>
              </w:rPr>
              <w:t xml:space="preserve">: </w:t>
            </w:r>
          </w:p>
        </w:tc>
      </w:tr>
      <w:tr w:rsidR="00FF35F2" w:rsidRPr="00C65E3A" w:rsidTr="00FF35F2">
        <w:trPr>
          <w:trHeight w:hRule="exact" w:val="460"/>
        </w:trPr>
        <w:tc>
          <w:tcPr>
            <w:tcW w:w="2781" w:type="dxa"/>
            <w:vMerge/>
          </w:tcPr>
          <w:p w:rsidR="00FF35F2" w:rsidRPr="00C65E3A" w:rsidRDefault="00FF35F2" w:rsidP="00D056B2">
            <w:pPr>
              <w:rPr>
                <w:rFonts w:cs="Arial"/>
                <w:noProof/>
                <w:szCs w:val="24"/>
              </w:rPr>
            </w:pPr>
          </w:p>
        </w:tc>
        <w:tc>
          <w:tcPr>
            <w:tcW w:w="4732" w:type="dxa"/>
            <w:vMerge/>
            <w:vAlign w:val="center"/>
          </w:tcPr>
          <w:p w:rsidR="00FF35F2" w:rsidRPr="00C65E3A" w:rsidRDefault="00FF35F2" w:rsidP="009E7531">
            <w:pPr>
              <w:jc w:val="center"/>
              <w:rPr>
                <w:rFonts w:cs="Arial"/>
                <w:b/>
                <w:szCs w:val="24"/>
              </w:rPr>
            </w:pPr>
          </w:p>
        </w:tc>
        <w:tc>
          <w:tcPr>
            <w:tcW w:w="2127" w:type="dxa"/>
            <w:vAlign w:val="center"/>
          </w:tcPr>
          <w:p w:rsidR="00FF35F2" w:rsidRPr="00A73C0B" w:rsidRDefault="0033062C" w:rsidP="00D056B2">
            <w:pPr>
              <w:rPr>
                <w:rFonts w:cs="Arial"/>
                <w:b/>
                <w:szCs w:val="22"/>
                <w:lang w:val="es-CO"/>
              </w:rPr>
            </w:pPr>
            <w:r>
              <w:rPr>
                <w:rFonts w:cs="Arial"/>
                <w:b/>
                <w:sz w:val="22"/>
                <w:szCs w:val="22"/>
                <w:lang w:val="es-CO"/>
              </w:rPr>
              <w:t xml:space="preserve">Versión </w:t>
            </w:r>
            <w:r w:rsidR="0020198C">
              <w:rPr>
                <w:rFonts w:cs="Arial"/>
                <w:b/>
                <w:sz w:val="22"/>
                <w:szCs w:val="22"/>
                <w:lang w:val="es-CO"/>
              </w:rPr>
              <w:t>02</w:t>
            </w:r>
          </w:p>
        </w:tc>
      </w:tr>
      <w:tr w:rsidR="00FF35F2" w:rsidRPr="00C65E3A" w:rsidTr="00FF35F2">
        <w:trPr>
          <w:trHeight w:hRule="exact" w:val="580"/>
        </w:trPr>
        <w:tc>
          <w:tcPr>
            <w:tcW w:w="2781" w:type="dxa"/>
            <w:vMerge/>
          </w:tcPr>
          <w:p w:rsidR="00FF35F2" w:rsidRPr="00C65E3A" w:rsidRDefault="00FF35F2" w:rsidP="00D056B2">
            <w:pPr>
              <w:rPr>
                <w:rFonts w:cs="Arial"/>
                <w:szCs w:val="24"/>
              </w:rPr>
            </w:pPr>
          </w:p>
        </w:tc>
        <w:tc>
          <w:tcPr>
            <w:tcW w:w="4732" w:type="dxa"/>
            <w:vMerge/>
          </w:tcPr>
          <w:p w:rsidR="00FF35F2" w:rsidRPr="00C65E3A" w:rsidRDefault="00FF35F2" w:rsidP="00D056B2">
            <w:pPr>
              <w:rPr>
                <w:rFonts w:cs="Arial"/>
                <w:szCs w:val="24"/>
              </w:rPr>
            </w:pPr>
          </w:p>
        </w:tc>
        <w:tc>
          <w:tcPr>
            <w:tcW w:w="2127" w:type="dxa"/>
            <w:vMerge w:val="restart"/>
            <w:vAlign w:val="center"/>
          </w:tcPr>
          <w:p w:rsidR="00FF35F2" w:rsidRPr="00C65E3A" w:rsidRDefault="00FF35F2" w:rsidP="0033062C">
            <w:pPr>
              <w:rPr>
                <w:rFonts w:cs="Arial"/>
                <w:szCs w:val="24"/>
              </w:rPr>
            </w:pPr>
            <w:r>
              <w:rPr>
                <w:rFonts w:cs="Arial"/>
                <w:b/>
                <w:sz w:val="22"/>
                <w:szCs w:val="22"/>
              </w:rPr>
              <w:t xml:space="preserve">Fecha: </w:t>
            </w:r>
            <w:r w:rsidR="0020198C">
              <w:rPr>
                <w:rFonts w:cs="Arial"/>
                <w:b/>
                <w:sz w:val="22"/>
                <w:szCs w:val="22"/>
              </w:rPr>
              <w:t>10/09/2025</w:t>
            </w:r>
          </w:p>
        </w:tc>
      </w:tr>
      <w:tr w:rsidR="00FF35F2" w:rsidRPr="00C65E3A" w:rsidTr="00532A0A">
        <w:trPr>
          <w:trHeight w:hRule="exact" w:val="70"/>
        </w:trPr>
        <w:tc>
          <w:tcPr>
            <w:tcW w:w="2781" w:type="dxa"/>
            <w:vMerge/>
            <w:tcBorders>
              <w:bottom w:val="single" w:sz="4" w:space="0" w:color="auto"/>
            </w:tcBorders>
          </w:tcPr>
          <w:p w:rsidR="00FF35F2" w:rsidRPr="00C65E3A" w:rsidRDefault="00FF35F2" w:rsidP="00D056B2">
            <w:pPr>
              <w:rPr>
                <w:rFonts w:cs="Arial"/>
                <w:szCs w:val="24"/>
              </w:rPr>
            </w:pPr>
          </w:p>
        </w:tc>
        <w:tc>
          <w:tcPr>
            <w:tcW w:w="4732" w:type="dxa"/>
            <w:vMerge/>
            <w:tcBorders>
              <w:bottom w:val="single" w:sz="4" w:space="0" w:color="auto"/>
            </w:tcBorders>
          </w:tcPr>
          <w:p w:rsidR="00FF35F2" w:rsidRPr="00C65E3A" w:rsidRDefault="00FF35F2" w:rsidP="00D056B2">
            <w:pPr>
              <w:rPr>
                <w:rFonts w:cs="Arial"/>
                <w:szCs w:val="24"/>
              </w:rPr>
            </w:pPr>
          </w:p>
        </w:tc>
        <w:tc>
          <w:tcPr>
            <w:tcW w:w="2127" w:type="dxa"/>
            <w:vMerge/>
            <w:tcBorders>
              <w:bottom w:val="single" w:sz="4" w:space="0" w:color="auto"/>
            </w:tcBorders>
            <w:vAlign w:val="center"/>
          </w:tcPr>
          <w:p w:rsidR="00FF35F2" w:rsidRPr="00C65E3A" w:rsidRDefault="00FF35F2" w:rsidP="00D056B2">
            <w:pPr>
              <w:rPr>
                <w:rFonts w:cs="Arial"/>
                <w:szCs w:val="24"/>
              </w:rPr>
            </w:pPr>
          </w:p>
        </w:tc>
      </w:tr>
    </w:tbl>
    <w:tbl>
      <w:tblPr>
        <w:tblStyle w:val="Tablanormal1"/>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607"/>
      </w:tblGrid>
      <w:tr w:rsidR="003B0DCC" w:rsidRPr="00C65E3A" w:rsidTr="00C65E3A">
        <w:trPr>
          <w:trHeight w:val="74"/>
        </w:trPr>
        <w:tc>
          <w:tcPr>
            <w:tcW w:w="9607" w:type="dxa"/>
            <w:shd w:val="clear" w:color="auto" w:fill="FFFFFF" w:themeFill="background1"/>
            <w:vAlign w:val="center"/>
          </w:tcPr>
          <w:p w:rsidR="003B0DCC" w:rsidRPr="00C65E3A" w:rsidRDefault="00624EB1" w:rsidP="00F05DF3">
            <w:pPr>
              <w:pStyle w:val="Todoenmayscula"/>
              <w:jc w:val="both"/>
              <w:rPr>
                <w:rFonts w:ascii="Arial" w:hAnsi="Arial" w:cs="Arial"/>
                <w:sz w:val="24"/>
                <w:szCs w:val="24"/>
              </w:rPr>
            </w:pPr>
            <w:r w:rsidRPr="00624EB1">
              <w:rPr>
                <w:rFonts w:ascii="Arial" w:hAnsi="Arial" w:cs="Arial"/>
                <w:b/>
                <w:sz w:val="24"/>
                <w:szCs w:val="24"/>
              </w:rPr>
              <w:t>OBJETIVO</w:t>
            </w:r>
            <w:r>
              <w:rPr>
                <w:rFonts w:ascii="Arial" w:hAnsi="Arial" w:cs="Arial"/>
                <w:sz w:val="24"/>
                <w:szCs w:val="24"/>
              </w:rPr>
              <w:t xml:space="preserve">: </w:t>
            </w:r>
            <w:r w:rsidR="00D056B2">
              <w:rPr>
                <w:rFonts w:ascii="Arial" w:hAnsi="Arial" w:cs="Arial"/>
                <w:sz w:val="24"/>
                <w:szCs w:val="24"/>
              </w:rPr>
              <w:t xml:space="preserve">Establecer el mecanismo por medio del cual los empleados de la Personería Municipal de Itagüí, puedan interponer una queja  que pueda constituirse como acoso laboral, dando cumplimiento </w:t>
            </w:r>
            <w:r w:rsidR="00AE4B97">
              <w:rPr>
                <w:rFonts w:ascii="Arial" w:hAnsi="Arial" w:cs="Arial"/>
                <w:sz w:val="24"/>
                <w:szCs w:val="24"/>
              </w:rPr>
              <w:t xml:space="preserve">a la normatividad </w:t>
            </w:r>
            <w:r>
              <w:rPr>
                <w:rFonts w:ascii="Arial" w:hAnsi="Arial" w:cs="Arial"/>
                <w:sz w:val="24"/>
                <w:szCs w:val="24"/>
              </w:rPr>
              <w:t xml:space="preserve">vigente. </w:t>
            </w:r>
          </w:p>
        </w:tc>
      </w:tr>
      <w:tr w:rsidR="00624EB1" w:rsidRPr="00C65E3A" w:rsidTr="00624EB1">
        <w:trPr>
          <w:trHeight w:val="461"/>
        </w:trPr>
        <w:tc>
          <w:tcPr>
            <w:tcW w:w="9607" w:type="dxa"/>
            <w:shd w:val="clear" w:color="auto" w:fill="FFFFFF" w:themeFill="background1"/>
            <w:hideMark/>
          </w:tcPr>
          <w:p w:rsidR="00624EB1" w:rsidRPr="00C65E3A" w:rsidRDefault="00624EB1" w:rsidP="00D056B2">
            <w:pPr>
              <w:rPr>
                <w:rFonts w:cs="Arial"/>
                <w:szCs w:val="24"/>
              </w:rPr>
            </w:pPr>
            <w:r w:rsidRPr="00624EB1">
              <w:rPr>
                <w:rFonts w:cs="Arial"/>
                <w:b/>
                <w:szCs w:val="24"/>
              </w:rPr>
              <w:t>ALCANCE</w:t>
            </w:r>
            <w:r>
              <w:rPr>
                <w:rFonts w:cs="Arial"/>
                <w:szCs w:val="24"/>
              </w:rPr>
              <w:t xml:space="preserve">: El presente procedimiento aplica para todos los servidores públicos de la Personería. </w:t>
            </w:r>
          </w:p>
        </w:tc>
      </w:tr>
      <w:tr w:rsidR="00624EB1" w:rsidRPr="00C65E3A" w:rsidTr="00532A0A">
        <w:trPr>
          <w:trHeight w:val="351"/>
        </w:trPr>
        <w:tc>
          <w:tcPr>
            <w:tcW w:w="9607" w:type="dxa"/>
            <w:shd w:val="clear" w:color="auto" w:fill="FFFFFF" w:themeFill="background1"/>
            <w:hideMark/>
          </w:tcPr>
          <w:p w:rsidR="00624EB1" w:rsidRPr="00C65E3A" w:rsidRDefault="00624EB1" w:rsidP="00532A0A">
            <w:pPr>
              <w:rPr>
                <w:rFonts w:cs="Arial"/>
                <w:szCs w:val="24"/>
              </w:rPr>
            </w:pPr>
            <w:r w:rsidRPr="00624EB1">
              <w:rPr>
                <w:rFonts w:cs="Arial"/>
                <w:b/>
                <w:szCs w:val="24"/>
              </w:rPr>
              <w:t>RE</w:t>
            </w:r>
            <w:r>
              <w:rPr>
                <w:rFonts w:cs="Arial"/>
                <w:b/>
                <w:szCs w:val="24"/>
              </w:rPr>
              <w:t>S</w:t>
            </w:r>
            <w:r w:rsidRPr="00624EB1">
              <w:rPr>
                <w:rFonts w:cs="Arial"/>
                <w:b/>
                <w:szCs w:val="24"/>
              </w:rPr>
              <w:t>PONSABLE</w:t>
            </w:r>
            <w:r>
              <w:rPr>
                <w:rFonts w:cs="Arial"/>
                <w:szCs w:val="24"/>
              </w:rPr>
              <w:t xml:space="preserve">:  Comité </w:t>
            </w:r>
            <w:r w:rsidR="00983AE6">
              <w:rPr>
                <w:rFonts w:cs="Arial"/>
                <w:szCs w:val="24"/>
              </w:rPr>
              <w:t xml:space="preserve">Convivencia Laboral </w:t>
            </w:r>
          </w:p>
        </w:tc>
      </w:tr>
      <w:tr w:rsidR="006E5620" w:rsidRPr="00C65E3A" w:rsidTr="00D056B2">
        <w:trPr>
          <w:trHeight w:val="461"/>
        </w:trPr>
        <w:tc>
          <w:tcPr>
            <w:tcW w:w="9607" w:type="dxa"/>
            <w:shd w:val="clear" w:color="auto" w:fill="FFFFFF" w:themeFill="background1"/>
            <w:hideMark/>
          </w:tcPr>
          <w:p w:rsidR="006E5620" w:rsidRDefault="00624EB1" w:rsidP="00D056B2">
            <w:pPr>
              <w:rPr>
                <w:rFonts w:cs="Arial"/>
                <w:szCs w:val="24"/>
              </w:rPr>
            </w:pPr>
            <w:r w:rsidRPr="00624EB1">
              <w:rPr>
                <w:rFonts w:cs="Arial"/>
                <w:b/>
                <w:szCs w:val="24"/>
              </w:rPr>
              <w:t>DEFINICIONES</w:t>
            </w:r>
            <w:r>
              <w:rPr>
                <w:rFonts w:cs="Arial"/>
                <w:szCs w:val="24"/>
              </w:rPr>
              <w:t xml:space="preserve">: </w:t>
            </w:r>
          </w:p>
          <w:p w:rsidR="007112BE" w:rsidRDefault="007112BE" w:rsidP="00D056B2">
            <w:pPr>
              <w:rPr>
                <w:rFonts w:cs="Arial"/>
                <w:szCs w:val="24"/>
              </w:rPr>
            </w:pPr>
            <w:r w:rsidRPr="007112BE">
              <w:rPr>
                <w:rFonts w:cs="Arial"/>
                <w:b/>
                <w:szCs w:val="24"/>
              </w:rPr>
              <w:t>Acoso laboral</w:t>
            </w:r>
            <w:r>
              <w:rPr>
                <w:rFonts w:cs="Arial"/>
                <w:szCs w:val="24"/>
              </w:rPr>
              <w:t>: Toda conducta persistente y demostrable, ejercida sobre un empleado, por parte de un empleador, un jefe o supervisor jerárquico inmediato o mediato, un compañero de trabajo o un subalterno, encaminada a infundir miedo, intimidación, terror o angustia, a acusar perjuicio laboral, generar desmotivación en el trabajo, o inducir la renuncia del mismo, conforme  lo establece la Ley 1010 de 2006</w:t>
            </w:r>
          </w:p>
          <w:p w:rsidR="00995CEB" w:rsidRDefault="00995CEB" w:rsidP="00D056B2">
            <w:pPr>
              <w:rPr>
                <w:rFonts w:cs="Arial"/>
                <w:b/>
                <w:szCs w:val="24"/>
              </w:rPr>
            </w:pPr>
          </w:p>
          <w:p w:rsidR="007112BE" w:rsidRPr="007112BE" w:rsidRDefault="007112BE" w:rsidP="00D056B2">
            <w:pPr>
              <w:rPr>
                <w:rFonts w:cs="Arial"/>
                <w:b/>
                <w:szCs w:val="24"/>
              </w:rPr>
            </w:pPr>
            <w:r w:rsidRPr="007112BE">
              <w:rPr>
                <w:rFonts w:cs="Arial"/>
                <w:b/>
                <w:szCs w:val="24"/>
              </w:rPr>
              <w:t xml:space="preserve">Comité de Convivencia Laboral: </w:t>
            </w:r>
            <w:r>
              <w:rPr>
                <w:rFonts w:cs="Arial"/>
                <w:szCs w:val="24"/>
              </w:rPr>
              <w:t>Se constituye como una medida preventiva de acoso laboral que co</w:t>
            </w:r>
            <w:r w:rsidR="008F33CF">
              <w:rPr>
                <w:rFonts w:cs="Arial"/>
                <w:szCs w:val="24"/>
              </w:rPr>
              <w:t xml:space="preserve">ntribuye a proteger a los trabajadores contra los riesgos psicosociales que afectan la salud en los lugares de trabajo. </w:t>
            </w:r>
            <w:r w:rsidRPr="007112BE">
              <w:rPr>
                <w:rFonts w:cs="Arial"/>
                <w:b/>
                <w:szCs w:val="24"/>
              </w:rPr>
              <w:t xml:space="preserve"> </w:t>
            </w:r>
          </w:p>
        </w:tc>
      </w:tr>
      <w:tr w:rsidR="009E7531" w:rsidRPr="00C65E3A" w:rsidTr="00D056B2">
        <w:trPr>
          <w:trHeight w:val="461"/>
        </w:trPr>
        <w:tc>
          <w:tcPr>
            <w:tcW w:w="9607" w:type="dxa"/>
            <w:shd w:val="clear" w:color="auto" w:fill="FFFFFF" w:themeFill="background1"/>
            <w:hideMark/>
          </w:tcPr>
          <w:p w:rsidR="009E7531" w:rsidRDefault="00624EB1" w:rsidP="009E7531">
            <w:pPr>
              <w:rPr>
                <w:rFonts w:cs="Arial"/>
                <w:szCs w:val="24"/>
              </w:rPr>
            </w:pPr>
            <w:r w:rsidRPr="00624EB1">
              <w:rPr>
                <w:rFonts w:cs="Arial"/>
                <w:b/>
                <w:szCs w:val="24"/>
              </w:rPr>
              <w:t>DOCUMENTOS DE REFERENCIA</w:t>
            </w:r>
            <w:r>
              <w:rPr>
                <w:rFonts w:cs="Arial"/>
                <w:szCs w:val="24"/>
              </w:rPr>
              <w:t xml:space="preserve">: </w:t>
            </w:r>
          </w:p>
          <w:p w:rsidR="00995CEB" w:rsidRDefault="00995CEB" w:rsidP="009E7531">
            <w:pPr>
              <w:rPr>
                <w:rFonts w:cs="Arial"/>
                <w:b/>
                <w:szCs w:val="24"/>
              </w:rPr>
            </w:pPr>
          </w:p>
          <w:p w:rsidR="00983AE6" w:rsidRDefault="00983AE6" w:rsidP="009E7531">
            <w:pPr>
              <w:rPr>
                <w:rFonts w:cs="Arial"/>
                <w:szCs w:val="24"/>
              </w:rPr>
            </w:pPr>
            <w:r w:rsidRPr="00983AE6">
              <w:rPr>
                <w:rFonts w:cs="Arial"/>
                <w:b/>
                <w:szCs w:val="24"/>
              </w:rPr>
              <w:t>Ley 1010 de 2006</w:t>
            </w:r>
            <w:r>
              <w:rPr>
                <w:rFonts w:cs="Arial"/>
                <w:szCs w:val="24"/>
              </w:rPr>
              <w:t xml:space="preserve"> Por medio de la cual se adoptan medidas para prevenir, corregir y sancionar el acoso laboral y otros hostigamientos en el marco de las relaciones de trabajo. </w:t>
            </w:r>
          </w:p>
          <w:p w:rsidR="00983AE6" w:rsidRDefault="00983AE6" w:rsidP="009E7531">
            <w:pPr>
              <w:rPr>
                <w:rFonts w:cs="Arial"/>
                <w:szCs w:val="24"/>
              </w:rPr>
            </w:pPr>
            <w:r w:rsidRPr="007112BE">
              <w:rPr>
                <w:rFonts w:cs="Arial"/>
                <w:b/>
                <w:szCs w:val="24"/>
              </w:rPr>
              <w:t>Resolución 2646 de 2008</w:t>
            </w:r>
            <w:r w:rsidR="007112BE">
              <w:rPr>
                <w:rFonts w:cs="Arial"/>
                <w:szCs w:val="24"/>
              </w:rPr>
              <w:t xml:space="preserve"> Por la cual se establecen disposiciones y se definen responsabilidades para la identificación, evaluación, prevención, intervención y </w:t>
            </w:r>
            <w:r w:rsidR="007112BE" w:rsidRPr="007112BE">
              <w:rPr>
                <w:rFonts w:cs="Arial"/>
                <w:szCs w:val="24"/>
              </w:rPr>
              <w:t>monitoreo</w:t>
            </w:r>
            <w:r w:rsidR="007112BE">
              <w:rPr>
                <w:rFonts w:cs="Arial"/>
                <w:szCs w:val="24"/>
              </w:rPr>
              <w:t xml:space="preserve"> permanente de la exposición, evaluación, prevención, intervención y monitoreo permanente de la exposición a factores de riesgo psicosocial en el trabajo y para la determinación del origen de las patologías causadas por el estrés ocupacional. </w:t>
            </w:r>
          </w:p>
          <w:p w:rsidR="007112BE" w:rsidRDefault="00983AE6" w:rsidP="0020198C">
            <w:pPr>
              <w:rPr>
                <w:rFonts w:cs="Arial"/>
                <w:szCs w:val="24"/>
              </w:rPr>
            </w:pPr>
            <w:r w:rsidRPr="007112BE">
              <w:rPr>
                <w:rFonts w:cs="Arial"/>
                <w:b/>
                <w:szCs w:val="24"/>
              </w:rPr>
              <w:t xml:space="preserve">Resolución </w:t>
            </w:r>
            <w:r w:rsidR="0020198C">
              <w:rPr>
                <w:rFonts w:cs="Arial"/>
                <w:b/>
                <w:szCs w:val="24"/>
              </w:rPr>
              <w:t xml:space="preserve">3461 de 2025 </w:t>
            </w:r>
            <w:r w:rsidR="007112BE">
              <w:rPr>
                <w:rFonts w:cs="Arial"/>
                <w:b/>
                <w:szCs w:val="24"/>
              </w:rPr>
              <w:t xml:space="preserve"> </w:t>
            </w:r>
            <w:r w:rsidR="007112BE" w:rsidRPr="007112BE">
              <w:rPr>
                <w:rFonts w:cs="Arial"/>
                <w:szCs w:val="24"/>
              </w:rPr>
              <w:t xml:space="preserve">Por </w:t>
            </w:r>
            <w:r w:rsidR="0020198C">
              <w:rPr>
                <w:rFonts w:cs="Arial"/>
                <w:szCs w:val="24"/>
              </w:rPr>
              <w:t xml:space="preserve">medio de la cual se deroga las resoluciones 652 y 1356 de 2012, por las cuales se establecen lineamientos para la conformación y funcionamiento del </w:t>
            </w:r>
            <w:r w:rsidR="007112BE">
              <w:rPr>
                <w:rFonts w:cs="Arial"/>
                <w:szCs w:val="24"/>
              </w:rPr>
              <w:t xml:space="preserve">Comité de Convivencia Laboral en entidades públicas y empresas privadas y se dictan otras disposiciones. </w:t>
            </w:r>
          </w:p>
        </w:tc>
      </w:tr>
    </w:tbl>
    <w:p w:rsidR="0025480D" w:rsidRPr="00E06601" w:rsidRDefault="0025480D" w:rsidP="0025480D">
      <w:pPr>
        <w:rPr>
          <w:rFonts w:cs="Arial"/>
        </w:rPr>
      </w:pPr>
    </w:p>
    <w:p w:rsidR="0025480D" w:rsidRPr="00E06601" w:rsidRDefault="0025480D" w:rsidP="0025480D">
      <w:pPr>
        <w:rPr>
          <w:rFonts w:cs="Arial"/>
          <w:b/>
        </w:rPr>
      </w:pPr>
      <w:r w:rsidRPr="00E06601">
        <w:rPr>
          <w:rFonts w:cs="Arial"/>
          <w:b/>
        </w:rPr>
        <w:t>6. DESCRIPCIÓN DE ACTIVIDADES</w:t>
      </w:r>
    </w:p>
    <w:p w:rsidR="0025480D" w:rsidRPr="00E06601" w:rsidRDefault="0025480D" w:rsidP="0025480D">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013"/>
        <w:gridCol w:w="3373"/>
        <w:gridCol w:w="2268"/>
        <w:gridCol w:w="1560"/>
      </w:tblGrid>
      <w:tr w:rsidR="0025480D" w:rsidRPr="00E06601" w:rsidTr="0025480D">
        <w:trPr>
          <w:tblHeader/>
        </w:trPr>
        <w:tc>
          <w:tcPr>
            <w:tcW w:w="392"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w:t>
            </w:r>
          </w:p>
        </w:tc>
        <w:tc>
          <w:tcPr>
            <w:tcW w:w="2013"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ACTIVIDAD</w:t>
            </w:r>
          </w:p>
        </w:tc>
        <w:tc>
          <w:tcPr>
            <w:tcW w:w="3373"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DESCRIPCIÓN</w:t>
            </w:r>
          </w:p>
        </w:tc>
        <w:tc>
          <w:tcPr>
            <w:tcW w:w="2268"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RESPONSABLE</w:t>
            </w:r>
          </w:p>
        </w:tc>
        <w:tc>
          <w:tcPr>
            <w:tcW w:w="1560"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INFORMACIÓN DOCUMENTADA</w:t>
            </w:r>
          </w:p>
        </w:tc>
      </w:tr>
      <w:tr w:rsidR="0025480D" w:rsidRPr="00E06601" w:rsidTr="0025480D">
        <w:trPr>
          <w:trHeight w:val="2190"/>
        </w:trPr>
        <w:tc>
          <w:tcPr>
            <w:tcW w:w="392" w:type="dxa"/>
            <w:vAlign w:val="center"/>
          </w:tcPr>
          <w:p w:rsidR="0025480D" w:rsidRPr="00E06601" w:rsidRDefault="0025480D" w:rsidP="0025480D">
            <w:pPr>
              <w:jc w:val="center"/>
              <w:rPr>
                <w:rFonts w:cs="Arial"/>
                <w:sz w:val="20"/>
              </w:rPr>
            </w:pPr>
            <w:r w:rsidRPr="00E06601">
              <w:rPr>
                <w:rFonts w:cs="Arial"/>
                <w:sz w:val="20"/>
              </w:rPr>
              <w:lastRenderedPageBreak/>
              <w:t>1</w:t>
            </w:r>
          </w:p>
        </w:tc>
        <w:tc>
          <w:tcPr>
            <w:tcW w:w="2013" w:type="dxa"/>
            <w:vAlign w:val="center"/>
          </w:tcPr>
          <w:p w:rsidR="0025480D" w:rsidRPr="00E06601" w:rsidRDefault="001A559A" w:rsidP="001A559A">
            <w:pPr>
              <w:rPr>
                <w:rFonts w:cs="Arial"/>
                <w:sz w:val="20"/>
              </w:rPr>
            </w:pPr>
            <w:r>
              <w:rPr>
                <w:rFonts w:cs="Arial"/>
                <w:sz w:val="20"/>
              </w:rPr>
              <w:t>Q</w:t>
            </w:r>
            <w:r w:rsidR="00ED3E7B">
              <w:rPr>
                <w:rFonts w:cs="Arial"/>
                <w:sz w:val="20"/>
              </w:rPr>
              <w:t xml:space="preserve">ueja que pueda constituir conductas de acoso laboral </w:t>
            </w:r>
          </w:p>
        </w:tc>
        <w:tc>
          <w:tcPr>
            <w:tcW w:w="3373" w:type="dxa"/>
            <w:vAlign w:val="center"/>
          </w:tcPr>
          <w:p w:rsidR="0025480D" w:rsidRPr="00E06601" w:rsidRDefault="001A559A" w:rsidP="00C155BC">
            <w:pPr>
              <w:rPr>
                <w:rFonts w:cs="Arial"/>
                <w:sz w:val="20"/>
              </w:rPr>
            </w:pPr>
            <w:r>
              <w:rPr>
                <w:rFonts w:cs="Arial"/>
                <w:sz w:val="20"/>
              </w:rPr>
              <w:t>Diligenciar formato de Formulación de queja que pue</w:t>
            </w:r>
            <w:r w:rsidR="00C155BC">
              <w:rPr>
                <w:rFonts w:cs="Arial"/>
                <w:sz w:val="20"/>
              </w:rPr>
              <w:t>da constituir conductas de Acoso</w:t>
            </w:r>
            <w:r>
              <w:rPr>
                <w:rFonts w:cs="Arial"/>
                <w:sz w:val="20"/>
              </w:rPr>
              <w:t xml:space="preserve"> Laboral y enviar al Secretario del Comité</w:t>
            </w:r>
            <w:r w:rsidR="00C155BC">
              <w:rPr>
                <w:rFonts w:cs="Arial"/>
                <w:sz w:val="20"/>
              </w:rPr>
              <w:t xml:space="preserve"> de Convivencia Laboral, en el que se indique los hechos, datos y las pruebas que permitan evidenciar el presunto acoso laboral. </w:t>
            </w:r>
            <w:r>
              <w:rPr>
                <w:rFonts w:cs="Arial"/>
                <w:sz w:val="20"/>
              </w:rPr>
              <w:t xml:space="preserve"> </w:t>
            </w:r>
          </w:p>
        </w:tc>
        <w:tc>
          <w:tcPr>
            <w:tcW w:w="2268" w:type="dxa"/>
            <w:vAlign w:val="center"/>
          </w:tcPr>
          <w:p w:rsidR="0025480D" w:rsidRPr="00E06601" w:rsidRDefault="00C155BC" w:rsidP="0025480D">
            <w:pPr>
              <w:jc w:val="center"/>
              <w:rPr>
                <w:rFonts w:cs="Arial"/>
                <w:sz w:val="18"/>
                <w:szCs w:val="18"/>
              </w:rPr>
            </w:pPr>
            <w:r>
              <w:rPr>
                <w:rFonts w:cs="Arial"/>
                <w:sz w:val="18"/>
                <w:szCs w:val="18"/>
              </w:rPr>
              <w:t>Servidor Público</w:t>
            </w:r>
          </w:p>
        </w:tc>
        <w:tc>
          <w:tcPr>
            <w:tcW w:w="1560" w:type="dxa"/>
            <w:vAlign w:val="center"/>
          </w:tcPr>
          <w:p w:rsidR="0025480D" w:rsidRDefault="00915C4D" w:rsidP="0025480D">
            <w:pPr>
              <w:jc w:val="center"/>
              <w:rPr>
                <w:rFonts w:cs="Arial"/>
                <w:sz w:val="18"/>
                <w:szCs w:val="18"/>
              </w:rPr>
            </w:pPr>
            <w:r>
              <w:rPr>
                <w:rFonts w:cs="Arial"/>
                <w:sz w:val="18"/>
                <w:szCs w:val="18"/>
              </w:rPr>
              <w:t>FTH-19</w:t>
            </w:r>
          </w:p>
          <w:p w:rsidR="00915C4D" w:rsidRPr="00E06601" w:rsidRDefault="00915C4D" w:rsidP="0025480D">
            <w:pPr>
              <w:jc w:val="center"/>
              <w:rPr>
                <w:rFonts w:cs="Arial"/>
                <w:sz w:val="18"/>
                <w:szCs w:val="18"/>
              </w:rPr>
            </w:pPr>
            <w:r>
              <w:rPr>
                <w:rFonts w:cs="Arial"/>
                <w:sz w:val="18"/>
                <w:szCs w:val="18"/>
              </w:rPr>
              <w:t xml:space="preserve">Queja ante el Comité de Convivencia Laboral </w:t>
            </w:r>
          </w:p>
        </w:tc>
      </w:tr>
      <w:tr w:rsidR="00C155BC" w:rsidRPr="00E06601" w:rsidTr="00813C20">
        <w:trPr>
          <w:trHeight w:val="987"/>
        </w:trPr>
        <w:tc>
          <w:tcPr>
            <w:tcW w:w="392" w:type="dxa"/>
            <w:vAlign w:val="center"/>
          </w:tcPr>
          <w:p w:rsidR="00C155BC" w:rsidRPr="00E06601" w:rsidRDefault="00C155BC" w:rsidP="0025480D">
            <w:pPr>
              <w:jc w:val="center"/>
              <w:rPr>
                <w:rFonts w:cs="Arial"/>
                <w:sz w:val="20"/>
              </w:rPr>
            </w:pPr>
            <w:r>
              <w:rPr>
                <w:rFonts w:cs="Arial"/>
                <w:sz w:val="20"/>
              </w:rPr>
              <w:t>2</w:t>
            </w:r>
          </w:p>
        </w:tc>
        <w:tc>
          <w:tcPr>
            <w:tcW w:w="2013" w:type="dxa"/>
            <w:vAlign w:val="center"/>
          </w:tcPr>
          <w:p w:rsidR="00C155BC" w:rsidRDefault="00C155BC" w:rsidP="001A559A">
            <w:pPr>
              <w:rPr>
                <w:rFonts w:cs="Arial"/>
                <w:sz w:val="20"/>
              </w:rPr>
            </w:pPr>
            <w:r>
              <w:rPr>
                <w:rFonts w:cs="Arial"/>
                <w:sz w:val="20"/>
              </w:rPr>
              <w:t>Recibir Queja</w:t>
            </w:r>
          </w:p>
        </w:tc>
        <w:tc>
          <w:tcPr>
            <w:tcW w:w="3373" w:type="dxa"/>
            <w:vAlign w:val="center"/>
          </w:tcPr>
          <w:p w:rsidR="00C155BC" w:rsidRDefault="00C155BC" w:rsidP="00C155BC">
            <w:pPr>
              <w:rPr>
                <w:rFonts w:cs="Arial"/>
                <w:sz w:val="20"/>
              </w:rPr>
            </w:pPr>
            <w:r>
              <w:rPr>
                <w:rFonts w:cs="Arial"/>
                <w:sz w:val="20"/>
              </w:rPr>
              <w:t xml:space="preserve">Recibir la queja que pueda constituir conductas de Acoso Laboral </w:t>
            </w:r>
          </w:p>
        </w:tc>
        <w:tc>
          <w:tcPr>
            <w:tcW w:w="2268" w:type="dxa"/>
            <w:vAlign w:val="center"/>
          </w:tcPr>
          <w:p w:rsidR="00C155BC" w:rsidRDefault="00C155BC" w:rsidP="0025480D">
            <w:pPr>
              <w:jc w:val="center"/>
              <w:rPr>
                <w:rFonts w:cs="Arial"/>
                <w:sz w:val="18"/>
                <w:szCs w:val="18"/>
              </w:rPr>
            </w:pPr>
            <w:r>
              <w:rPr>
                <w:rFonts w:cs="Arial"/>
                <w:sz w:val="18"/>
                <w:szCs w:val="18"/>
              </w:rPr>
              <w:t>Secretario del Comité de Convivencia Laboral</w:t>
            </w:r>
          </w:p>
        </w:tc>
        <w:tc>
          <w:tcPr>
            <w:tcW w:w="1560" w:type="dxa"/>
            <w:vAlign w:val="center"/>
          </w:tcPr>
          <w:p w:rsidR="00915C4D" w:rsidRDefault="00915C4D" w:rsidP="00915C4D">
            <w:pPr>
              <w:jc w:val="center"/>
              <w:rPr>
                <w:rFonts w:cs="Arial"/>
                <w:sz w:val="18"/>
                <w:szCs w:val="18"/>
              </w:rPr>
            </w:pPr>
            <w:r>
              <w:rPr>
                <w:rFonts w:cs="Arial"/>
                <w:sz w:val="18"/>
                <w:szCs w:val="18"/>
              </w:rPr>
              <w:t>FTH-19</w:t>
            </w:r>
          </w:p>
          <w:p w:rsidR="00C155BC" w:rsidRDefault="00915C4D" w:rsidP="00915C4D">
            <w:pPr>
              <w:jc w:val="center"/>
              <w:rPr>
                <w:rFonts w:cs="Arial"/>
                <w:sz w:val="18"/>
                <w:szCs w:val="18"/>
              </w:rPr>
            </w:pPr>
            <w:r>
              <w:rPr>
                <w:rFonts w:cs="Arial"/>
                <w:sz w:val="18"/>
                <w:szCs w:val="18"/>
              </w:rPr>
              <w:t>Queja ante el Comité de Convivencia Laboral</w:t>
            </w:r>
          </w:p>
        </w:tc>
      </w:tr>
      <w:tr w:rsidR="00C155BC" w:rsidRPr="00E06601" w:rsidTr="00813C20">
        <w:trPr>
          <w:trHeight w:val="1696"/>
        </w:trPr>
        <w:tc>
          <w:tcPr>
            <w:tcW w:w="392" w:type="dxa"/>
            <w:vAlign w:val="center"/>
          </w:tcPr>
          <w:p w:rsidR="00C155BC" w:rsidRDefault="00C155BC" w:rsidP="0025480D">
            <w:pPr>
              <w:jc w:val="center"/>
              <w:rPr>
                <w:rFonts w:cs="Arial"/>
                <w:sz w:val="20"/>
              </w:rPr>
            </w:pPr>
            <w:r>
              <w:rPr>
                <w:rFonts w:cs="Arial"/>
                <w:sz w:val="20"/>
              </w:rPr>
              <w:t>3</w:t>
            </w:r>
          </w:p>
        </w:tc>
        <w:tc>
          <w:tcPr>
            <w:tcW w:w="2013" w:type="dxa"/>
            <w:vAlign w:val="center"/>
          </w:tcPr>
          <w:p w:rsidR="00C155BC" w:rsidRDefault="00C155BC" w:rsidP="001A559A">
            <w:pPr>
              <w:rPr>
                <w:rFonts w:cs="Arial"/>
                <w:sz w:val="20"/>
              </w:rPr>
            </w:pPr>
            <w:r>
              <w:rPr>
                <w:rFonts w:cs="Arial"/>
                <w:sz w:val="20"/>
              </w:rPr>
              <w:t>Convocar a Reunión</w:t>
            </w:r>
          </w:p>
        </w:tc>
        <w:tc>
          <w:tcPr>
            <w:tcW w:w="3373" w:type="dxa"/>
            <w:vAlign w:val="center"/>
          </w:tcPr>
          <w:p w:rsidR="00C155BC" w:rsidRDefault="00C155BC" w:rsidP="00C155BC">
            <w:pPr>
              <w:rPr>
                <w:rFonts w:cs="Arial"/>
                <w:sz w:val="20"/>
              </w:rPr>
            </w:pPr>
            <w:r>
              <w:rPr>
                <w:rFonts w:cs="Arial"/>
                <w:sz w:val="20"/>
              </w:rPr>
              <w:t>Una vez recibida la queja por parte del Secretario del Comité de Convivencia Labora</w:t>
            </w:r>
            <w:r w:rsidR="00995CEB">
              <w:rPr>
                <w:rFonts w:cs="Arial"/>
                <w:sz w:val="20"/>
              </w:rPr>
              <w:t>l</w:t>
            </w:r>
            <w:r>
              <w:rPr>
                <w:rFonts w:cs="Arial"/>
                <w:sz w:val="20"/>
              </w:rPr>
              <w:t>, este deberá convocar a reunión extraordinaria para la atención y activación del procedimiento</w:t>
            </w:r>
            <w:r w:rsidR="0020198C">
              <w:rPr>
                <w:rFonts w:cs="Arial"/>
                <w:sz w:val="20"/>
              </w:rPr>
              <w:t xml:space="preserve"> en un tiempo de cinco (5) días calendario.</w:t>
            </w:r>
          </w:p>
        </w:tc>
        <w:tc>
          <w:tcPr>
            <w:tcW w:w="2268" w:type="dxa"/>
            <w:vAlign w:val="center"/>
          </w:tcPr>
          <w:p w:rsidR="00C155BC" w:rsidRDefault="00C155BC" w:rsidP="0025480D">
            <w:pPr>
              <w:jc w:val="center"/>
              <w:rPr>
                <w:rFonts w:cs="Arial"/>
                <w:sz w:val="18"/>
                <w:szCs w:val="18"/>
              </w:rPr>
            </w:pPr>
            <w:r>
              <w:rPr>
                <w:rFonts w:cs="Arial"/>
                <w:sz w:val="18"/>
                <w:szCs w:val="18"/>
              </w:rPr>
              <w:t>Secretario del Comité de Convivencia Laboral</w:t>
            </w:r>
          </w:p>
        </w:tc>
        <w:tc>
          <w:tcPr>
            <w:tcW w:w="1560" w:type="dxa"/>
            <w:vAlign w:val="center"/>
          </w:tcPr>
          <w:p w:rsidR="00C155BC" w:rsidRDefault="00C155BC" w:rsidP="0025480D">
            <w:pPr>
              <w:jc w:val="center"/>
              <w:rPr>
                <w:rFonts w:cs="Arial"/>
                <w:sz w:val="18"/>
                <w:szCs w:val="18"/>
              </w:rPr>
            </w:pPr>
            <w:r>
              <w:rPr>
                <w:rFonts w:cs="Arial"/>
                <w:sz w:val="18"/>
                <w:szCs w:val="18"/>
              </w:rPr>
              <w:t>Correo electrónico</w:t>
            </w:r>
          </w:p>
          <w:p w:rsidR="00C155BC" w:rsidRDefault="00C155BC" w:rsidP="0025480D">
            <w:pPr>
              <w:jc w:val="center"/>
              <w:rPr>
                <w:rFonts w:cs="Arial"/>
                <w:sz w:val="18"/>
                <w:szCs w:val="18"/>
              </w:rPr>
            </w:pPr>
          </w:p>
          <w:p w:rsidR="00C155BC" w:rsidRDefault="00C155BC" w:rsidP="0025480D">
            <w:pPr>
              <w:jc w:val="center"/>
              <w:rPr>
                <w:rFonts w:cs="Arial"/>
                <w:sz w:val="18"/>
                <w:szCs w:val="18"/>
              </w:rPr>
            </w:pPr>
            <w:r>
              <w:rPr>
                <w:rFonts w:cs="Arial"/>
                <w:sz w:val="18"/>
                <w:szCs w:val="18"/>
              </w:rPr>
              <w:t xml:space="preserve">Citación </w:t>
            </w:r>
          </w:p>
        </w:tc>
      </w:tr>
      <w:tr w:rsidR="00C155BC" w:rsidRPr="00E06601" w:rsidTr="0025480D">
        <w:trPr>
          <w:trHeight w:val="2190"/>
        </w:trPr>
        <w:tc>
          <w:tcPr>
            <w:tcW w:w="392" w:type="dxa"/>
            <w:vAlign w:val="center"/>
          </w:tcPr>
          <w:p w:rsidR="00C155BC" w:rsidRDefault="00C155BC" w:rsidP="0025480D">
            <w:pPr>
              <w:jc w:val="center"/>
              <w:rPr>
                <w:rFonts w:cs="Arial"/>
                <w:sz w:val="20"/>
              </w:rPr>
            </w:pPr>
            <w:r>
              <w:rPr>
                <w:rFonts w:cs="Arial"/>
                <w:sz w:val="20"/>
              </w:rPr>
              <w:t>4</w:t>
            </w:r>
          </w:p>
        </w:tc>
        <w:tc>
          <w:tcPr>
            <w:tcW w:w="2013" w:type="dxa"/>
            <w:vAlign w:val="center"/>
          </w:tcPr>
          <w:p w:rsidR="00C155BC" w:rsidRDefault="00C155BC" w:rsidP="00C155BC">
            <w:pPr>
              <w:rPr>
                <w:rFonts w:cs="Arial"/>
                <w:sz w:val="20"/>
              </w:rPr>
            </w:pPr>
            <w:r>
              <w:rPr>
                <w:rFonts w:cs="Arial"/>
                <w:sz w:val="20"/>
              </w:rPr>
              <w:t xml:space="preserve">Reunión de Comité de Convivencia Laboral </w:t>
            </w:r>
          </w:p>
        </w:tc>
        <w:tc>
          <w:tcPr>
            <w:tcW w:w="3373" w:type="dxa"/>
            <w:vAlign w:val="center"/>
          </w:tcPr>
          <w:p w:rsidR="00C155BC" w:rsidRDefault="00C155BC" w:rsidP="00C155BC">
            <w:pPr>
              <w:rPr>
                <w:rFonts w:cs="Arial"/>
                <w:sz w:val="20"/>
              </w:rPr>
            </w:pPr>
            <w:r>
              <w:rPr>
                <w:rFonts w:cs="Arial"/>
                <w:sz w:val="20"/>
              </w:rPr>
              <w:t>Reunión de los miembros principales del Comité de Convivencia Laboral, cumpliendo con la asistencia necesaria para sesionar</w:t>
            </w:r>
          </w:p>
          <w:p w:rsidR="00C155BC" w:rsidRDefault="00C155BC" w:rsidP="00C155BC">
            <w:pPr>
              <w:rPr>
                <w:rFonts w:cs="Arial"/>
                <w:sz w:val="20"/>
              </w:rPr>
            </w:pPr>
          </w:p>
          <w:p w:rsidR="003B0CED" w:rsidRDefault="00C155BC" w:rsidP="00C155BC">
            <w:pPr>
              <w:rPr>
                <w:rFonts w:cs="Arial"/>
                <w:sz w:val="20"/>
              </w:rPr>
            </w:pPr>
            <w:r>
              <w:rPr>
                <w:rFonts w:cs="Arial"/>
                <w:sz w:val="20"/>
              </w:rPr>
              <w:t>Analizar</w:t>
            </w:r>
            <w:r w:rsidR="009D6688">
              <w:rPr>
                <w:rFonts w:cs="Arial"/>
                <w:sz w:val="20"/>
              </w:rPr>
              <w:t xml:space="preserve"> de manera confidencial</w:t>
            </w:r>
            <w:r>
              <w:rPr>
                <w:rFonts w:cs="Arial"/>
                <w:sz w:val="20"/>
              </w:rPr>
              <w:t xml:space="preserve"> la queja presentada mediante formato de formulación de queja que puedan constituir conductas </w:t>
            </w:r>
            <w:r w:rsidR="00995CEB">
              <w:rPr>
                <w:rFonts w:cs="Arial"/>
                <w:sz w:val="20"/>
              </w:rPr>
              <w:t>de</w:t>
            </w:r>
            <w:r>
              <w:rPr>
                <w:rFonts w:cs="Arial"/>
                <w:sz w:val="20"/>
              </w:rPr>
              <w:t xml:space="preserve"> </w:t>
            </w:r>
            <w:r w:rsidR="00995CEB">
              <w:rPr>
                <w:rFonts w:cs="Arial"/>
                <w:sz w:val="20"/>
              </w:rPr>
              <w:t>acoso laboral presentado</w:t>
            </w:r>
            <w:r w:rsidR="009D6688">
              <w:rPr>
                <w:rFonts w:cs="Arial"/>
                <w:sz w:val="20"/>
              </w:rPr>
              <w:t xml:space="preserve"> por el presunto acosado en un tiempo de cinco (5) días calendario o ampliar los términos con previa justificación sin sobrepasar los quince (15) días calendario. </w:t>
            </w:r>
          </w:p>
          <w:p w:rsidR="003B0CED" w:rsidRDefault="003B0CED" w:rsidP="00C155BC">
            <w:pPr>
              <w:rPr>
                <w:rFonts w:cs="Arial"/>
                <w:sz w:val="20"/>
              </w:rPr>
            </w:pPr>
          </w:p>
          <w:p w:rsidR="003B0CED" w:rsidRDefault="003B0CED" w:rsidP="00C155BC">
            <w:pPr>
              <w:rPr>
                <w:rFonts w:cs="Arial"/>
                <w:sz w:val="20"/>
              </w:rPr>
            </w:pPr>
            <w:r>
              <w:rPr>
                <w:rFonts w:cs="Arial"/>
                <w:sz w:val="20"/>
              </w:rPr>
              <w:t>Nota: en caso de que la decisión del Comité de Convivencia Laboral, sea que la queja reportada no es una conducta que constituya acoso, dirigirse  a la actividad</w:t>
            </w:r>
            <w:r w:rsidR="00142C00" w:rsidRPr="00142C00">
              <w:rPr>
                <w:rFonts w:cs="Arial"/>
                <w:sz w:val="20"/>
              </w:rPr>
              <w:t xml:space="preserve"> 8.</w:t>
            </w:r>
          </w:p>
          <w:p w:rsidR="003B0CED" w:rsidRDefault="003B0CED" w:rsidP="00C155BC">
            <w:pPr>
              <w:rPr>
                <w:rFonts w:cs="Arial"/>
                <w:sz w:val="20"/>
              </w:rPr>
            </w:pPr>
            <w:r>
              <w:rPr>
                <w:rFonts w:cs="Arial"/>
                <w:sz w:val="20"/>
              </w:rPr>
              <w:t xml:space="preserve">Activar el proceso de investigación de la queja que pueda constituir una conducta de acosa laboral. </w:t>
            </w:r>
          </w:p>
          <w:p w:rsidR="003B0CED" w:rsidRDefault="003B0CED" w:rsidP="00C155BC">
            <w:pPr>
              <w:rPr>
                <w:rFonts w:cs="Arial"/>
                <w:sz w:val="20"/>
              </w:rPr>
            </w:pPr>
          </w:p>
          <w:p w:rsidR="003B0CED" w:rsidRDefault="003B0CED" w:rsidP="00C155BC">
            <w:pPr>
              <w:rPr>
                <w:rFonts w:cs="Arial"/>
                <w:sz w:val="20"/>
              </w:rPr>
            </w:pPr>
            <w:r>
              <w:rPr>
                <w:rFonts w:cs="Arial"/>
                <w:sz w:val="20"/>
              </w:rPr>
              <w:t xml:space="preserve">El Comité de Convivencia laboral, en la reunión extraordinaria en la </w:t>
            </w:r>
            <w:r>
              <w:rPr>
                <w:rFonts w:cs="Arial"/>
                <w:sz w:val="20"/>
              </w:rPr>
              <w:lastRenderedPageBreak/>
              <w:t>que analiza la queja y decide continuar con el proceso, definirá las acciones que considere para el tratamiento del caso.</w:t>
            </w:r>
          </w:p>
          <w:p w:rsidR="003B0CED" w:rsidRDefault="003B0CED" w:rsidP="00C155BC">
            <w:pPr>
              <w:rPr>
                <w:rFonts w:cs="Arial"/>
                <w:sz w:val="20"/>
              </w:rPr>
            </w:pPr>
          </w:p>
          <w:p w:rsidR="003B0CED" w:rsidRDefault="003B0CED" w:rsidP="00C155BC">
            <w:pPr>
              <w:rPr>
                <w:rFonts w:cs="Arial"/>
                <w:sz w:val="20"/>
              </w:rPr>
            </w:pPr>
            <w:r>
              <w:rPr>
                <w:rFonts w:cs="Arial"/>
                <w:sz w:val="20"/>
              </w:rPr>
              <w:t>En estas acciones, se podrá:</w:t>
            </w:r>
          </w:p>
          <w:p w:rsidR="003B0CED" w:rsidRDefault="003B0CED" w:rsidP="00C155BC">
            <w:pPr>
              <w:rPr>
                <w:rFonts w:cs="Arial"/>
                <w:sz w:val="20"/>
              </w:rPr>
            </w:pPr>
          </w:p>
          <w:p w:rsidR="003B0CED" w:rsidRDefault="003B0CED" w:rsidP="00C155BC">
            <w:pPr>
              <w:rPr>
                <w:rFonts w:cs="Arial"/>
                <w:sz w:val="20"/>
              </w:rPr>
            </w:pPr>
            <w:r>
              <w:rPr>
                <w:rFonts w:cs="Arial"/>
                <w:sz w:val="20"/>
              </w:rPr>
              <w:t xml:space="preserve">Validar si las pruebas recogidas están comprendidas dentro de las conductas de acoso laboral. </w:t>
            </w:r>
          </w:p>
          <w:p w:rsidR="003B0CED" w:rsidRDefault="003B0CED" w:rsidP="00C155BC">
            <w:pPr>
              <w:rPr>
                <w:rFonts w:cs="Arial"/>
                <w:sz w:val="20"/>
              </w:rPr>
            </w:pPr>
          </w:p>
          <w:p w:rsidR="003B0CED" w:rsidRDefault="003B0CED" w:rsidP="00C155BC">
            <w:pPr>
              <w:rPr>
                <w:rFonts w:cs="Arial"/>
                <w:sz w:val="20"/>
              </w:rPr>
            </w:pPr>
            <w:r>
              <w:rPr>
                <w:rFonts w:cs="Arial"/>
                <w:sz w:val="20"/>
              </w:rPr>
              <w:t>Escuchar a las partes involucradas de manera individual sobre los hechos que dieron lugar a la queja</w:t>
            </w:r>
            <w:r w:rsidR="009D6688">
              <w:rPr>
                <w:rFonts w:cs="Arial"/>
                <w:sz w:val="20"/>
              </w:rPr>
              <w:t xml:space="preserve"> en un término máximo de cinco (5) días calendario. </w:t>
            </w:r>
            <w:r>
              <w:rPr>
                <w:rFonts w:cs="Arial"/>
                <w:sz w:val="20"/>
              </w:rPr>
              <w:t xml:space="preserve">. </w:t>
            </w:r>
          </w:p>
          <w:p w:rsidR="003B0CED" w:rsidRDefault="003B0CED" w:rsidP="00C155BC">
            <w:pPr>
              <w:rPr>
                <w:rFonts w:cs="Arial"/>
                <w:sz w:val="20"/>
              </w:rPr>
            </w:pPr>
          </w:p>
          <w:p w:rsidR="003B0CED" w:rsidRDefault="003B0CED" w:rsidP="00C155BC">
            <w:pPr>
              <w:rPr>
                <w:rFonts w:cs="Arial"/>
                <w:sz w:val="20"/>
              </w:rPr>
            </w:pPr>
            <w:r>
              <w:rPr>
                <w:rFonts w:cs="Arial"/>
                <w:sz w:val="20"/>
              </w:rPr>
              <w:t xml:space="preserve">Escuchar a las partes involucradas de manera conjunta sobre los hechos que dieron lugar a la queja. </w:t>
            </w:r>
          </w:p>
          <w:p w:rsidR="003B0CED" w:rsidRDefault="003B0CED" w:rsidP="00C155BC">
            <w:pPr>
              <w:rPr>
                <w:rFonts w:cs="Arial"/>
                <w:sz w:val="20"/>
              </w:rPr>
            </w:pPr>
          </w:p>
          <w:p w:rsidR="003B0CED" w:rsidRDefault="003B0CED" w:rsidP="00C155BC">
            <w:pPr>
              <w:rPr>
                <w:rFonts w:cs="Arial"/>
                <w:sz w:val="20"/>
              </w:rPr>
            </w:pPr>
            <w:r>
              <w:rPr>
                <w:rFonts w:cs="Arial"/>
                <w:sz w:val="20"/>
              </w:rPr>
              <w:t>Adelantar reuniones con el fin de crear espacio de diálogo entre las partes involucradas, promoviendo compromisos mutuos para llegar a una solución</w:t>
            </w:r>
            <w:r w:rsidR="009D6688">
              <w:rPr>
                <w:rFonts w:cs="Arial"/>
                <w:sz w:val="20"/>
              </w:rPr>
              <w:t xml:space="preserve"> efectiva de las controversias en un término máximo de cinco (5) días calendario o ampliación de términos justificada hasta diez (10) días calendario. </w:t>
            </w:r>
          </w:p>
          <w:p w:rsidR="003B0CED" w:rsidRDefault="003B0CED" w:rsidP="00C155BC">
            <w:pPr>
              <w:rPr>
                <w:rFonts w:cs="Arial"/>
                <w:sz w:val="20"/>
              </w:rPr>
            </w:pPr>
          </w:p>
          <w:p w:rsidR="00995CEB" w:rsidRDefault="003B0CED" w:rsidP="00C155BC">
            <w:pPr>
              <w:rPr>
                <w:rFonts w:cs="Arial"/>
                <w:sz w:val="20"/>
              </w:rPr>
            </w:pPr>
            <w:r>
              <w:rPr>
                <w:rFonts w:cs="Arial"/>
                <w:sz w:val="20"/>
              </w:rPr>
              <w:t xml:space="preserve">Solicitar apoyo técnico o peritaje de profesionales </w:t>
            </w:r>
            <w:r w:rsidR="0041455D">
              <w:rPr>
                <w:rFonts w:cs="Arial"/>
                <w:sz w:val="20"/>
              </w:rPr>
              <w:t xml:space="preserve"> en la materia de investigación que ayuden al avance del proceso. Sin dar a conocer los hec</w:t>
            </w:r>
            <w:r w:rsidR="00995CEB">
              <w:rPr>
                <w:rFonts w:cs="Arial"/>
                <w:sz w:val="20"/>
              </w:rPr>
              <w:t>hos de investigación, y con el ánimo</w:t>
            </w:r>
            <w:r w:rsidR="0041455D">
              <w:rPr>
                <w:rFonts w:cs="Arial"/>
                <w:sz w:val="20"/>
              </w:rPr>
              <w:t xml:space="preserve"> de verificar procedimientos, protocolos, o conceptos técnicos que no conozca los miembros del Comité y que sean indispensables para la investigación. </w:t>
            </w:r>
          </w:p>
          <w:p w:rsidR="00995CEB" w:rsidRDefault="00995CEB" w:rsidP="00C155BC">
            <w:pPr>
              <w:rPr>
                <w:rFonts w:cs="Arial"/>
                <w:sz w:val="20"/>
              </w:rPr>
            </w:pPr>
          </w:p>
          <w:p w:rsidR="003B0CED" w:rsidRDefault="0041455D" w:rsidP="00C155BC">
            <w:pPr>
              <w:rPr>
                <w:rFonts w:cs="Arial"/>
                <w:sz w:val="20"/>
              </w:rPr>
            </w:pPr>
            <w:r>
              <w:rPr>
                <w:rFonts w:cs="Arial"/>
                <w:sz w:val="20"/>
              </w:rPr>
              <w:t xml:space="preserve">De ser necesario que se conozcan los nombres de los involucrados, se debe solicitar consentimiento y aceptación por escrito de las personas involucradas en la queja. </w:t>
            </w:r>
          </w:p>
          <w:p w:rsidR="0041455D" w:rsidRDefault="0041455D" w:rsidP="00C155BC">
            <w:pPr>
              <w:rPr>
                <w:rFonts w:cs="Arial"/>
                <w:sz w:val="20"/>
              </w:rPr>
            </w:pPr>
          </w:p>
          <w:p w:rsidR="00C155BC" w:rsidRDefault="0041455D" w:rsidP="00492F51">
            <w:pPr>
              <w:rPr>
                <w:rFonts w:cs="Arial"/>
                <w:sz w:val="20"/>
              </w:rPr>
            </w:pPr>
            <w:r>
              <w:rPr>
                <w:rFonts w:cs="Arial"/>
                <w:sz w:val="20"/>
              </w:rPr>
              <w:t xml:space="preserve">NOTA: En caso que la queja </w:t>
            </w:r>
            <w:r>
              <w:rPr>
                <w:rFonts w:cs="Arial"/>
                <w:sz w:val="20"/>
              </w:rPr>
              <w:lastRenderedPageBreak/>
              <w:t xml:space="preserve">involucre alguno de los miembros del Comité de Convivencia, este  no podrá intervenir en la investigación del caso, deberá declararse </w:t>
            </w:r>
            <w:r w:rsidR="00492F51">
              <w:rPr>
                <w:rFonts w:cs="Arial"/>
                <w:sz w:val="20"/>
              </w:rPr>
              <w:t>impedido</w:t>
            </w:r>
            <w:r>
              <w:rPr>
                <w:rFonts w:cs="Arial"/>
                <w:sz w:val="20"/>
              </w:rPr>
              <w:t xml:space="preserve"> </w:t>
            </w:r>
            <w:r w:rsidR="00F80B84">
              <w:rPr>
                <w:rFonts w:cs="Arial"/>
                <w:sz w:val="20"/>
              </w:rPr>
              <w:t xml:space="preserve">y en el evento de comprobarse que realmente estuvo implicado en la queja quedará inhabilitado para pertenecer al Comité de Convivencia Laboral. </w:t>
            </w:r>
            <w:r w:rsidR="003B0CED">
              <w:rPr>
                <w:rFonts w:cs="Arial"/>
                <w:sz w:val="20"/>
              </w:rPr>
              <w:t xml:space="preserve"> </w:t>
            </w:r>
          </w:p>
        </w:tc>
        <w:tc>
          <w:tcPr>
            <w:tcW w:w="2268" w:type="dxa"/>
            <w:vAlign w:val="center"/>
          </w:tcPr>
          <w:p w:rsidR="00C155BC" w:rsidRDefault="00C155BC" w:rsidP="0025480D">
            <w:pPr>
              <w:jc w:val="center"/>
              <w:rPr>
                <w:rFonts w:cs="Arial"/>
                <w:sz w:val="18"/>
                <w:szCs w:val="18"/>
              </w:rPr>
            </w:pPr>
            <w:r>
              <w:rPr>
                <w:rFonts w:cs="Arial"/>
                <w:sz w:val="18"/>
                <w:szCs w:val="18"/>
              </w:rPr>
              <w:lastRenderedPageBreak/>
              <w:t>Comité de Convivencia Laboral</w:t>
            </w:r>
          </w:p>
        </w:tc>
        <w:tc>
          <w:tcPr>
            <w:tcW w:w="1560" w:type="dxa"/>
            <w:vAlign w:val="center"/>
          </w:tcPr>
          <w:p w:rsidR="00C155BC" w:rsidRDefault="00C155BC" w:rsidP="0025480D">
            <w:pPr>
              <w:jc w:val="center"/>
              <w:rPr>
                <w:rFonts w:cs="Arial"/>
                <w:sz w:val="18"/>
                <w:szCs w:val="18"/>
              </w:rPr>
            </w:pPr>
            <w:r>
              <w:rPr>
                <w:rFonts w:cs="Arial"/>
                <w:sz w:val="18"/>
                <w:szCs w:val="18"/>
              </w:rPr>
              <w:t>Acta de Reunión</w:t>
            </w:r>
            <w:r w:rsidR="00F80B84">
              <w:rPr>
                <w:rFonts w:cs="Arial"/>
                <w:sz w:val="18"/>
                <w:szCs w:val="18"/>
              </w:rPr>
              <w:t xml:space="preserve"> </w:t>
            </w:r>
          </w:p>
          <w:p w:rsidR="00F80B84" w:rsidRDefault="00F80B84" w:rsidP="0025480D">
            <w:pPr>
              <w:jc w:val="center"/>
              <w:rPr>
                <w:rFonts w:cs="Arial"/>
                <w:sz w:val="18"/>
                <w:szCs w:val="18"/>
              </w:rPr>
            </w:pPr>
            <w:r>
              <w:rPr>
                <w:rFonts w:cs="Arial"/>
                <w:sz w:val="18"/>
                <w:szCs w:val="18"/>
              </w:rPr>
              <w:t>Acta de escucha de versiones libres</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 xml:space="preserve">Documentos o pruebas </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 xml:space="preserve">Correo electrónico </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comunicaciones</w:t>
            </w:r>
          </w:p>
        </w:tc>
      </w:tr>
      <w:tr w:rsidR="00915C4D" w:rsidRPr="00E06601" w:rsidTr="00995CEB">
        <w:trPr>
          <w:trHeight w:val="928"/>
        </w:trPr>
        <w:tc>
          <w:tcPr>
            <w:tcW w:w="392" w:type="dxa"/>
            <w:vAlign w:val="center"/>
          </w:tcPr>
          <w:p w:rsidR="00915C4D" w:rsidRDefault="00915C4D" w:rsidP="0025480D">
            <w:pPr>
              <w:jc w:val="center"/>
              <w:rPr>
                <w:rFonts w:cs="Arial"/>
                <w:sz w:val="20"/>
              </w:rPr>
            </w:pPr>
            <w:r>
              <w:rPr>
                <w:rFonts w:cs="Arial"/>
                <w:sz w:val="20"/>
              </w:rPr>
              <w:lastRenderedPageBreak/>
              <w:t>5</w:t>
            </w:r>
          </w:p>
        </w:tc>
        <w:tc>
          <w:tcPr>
            <w:tcW w:w="2013" w:type="dxa"/>
            <w:vAlign w:val="center"/>
          </w:tcPr>
          <w:p w:rsidR="00915C4D" w:rsidRDefault="00915C4D" w:rsidP="00C155BC">
            <w:pPr>
              <w:rPr>
                <w:rFonts w:cs="Arial"/>
                <w:sz w:val="20"/>
              </w:rPr>
            </w:pPr>
            <w:r>
              <w:rPr>
                <w:rFonts w:cs="Arial"/>
                <w:sz w:val="20"/>
              </w:rPr>
              <w:t>Cierre Proceso de Investigación</w:t>
            </w:r>
          </w:p>
        </w:tc>
        <w:tc>
          <w:tcPr>
            <w:tcW w:w="3373" w:type="dxa"/>
            <w:vAlign w:val="center"/>
          </w:tcPr>
          <w:p w:rsidR="00915C4D" w:rsidRDefault="00915C4D" w:rsidP="00C155BC">
            <w:pPr>
              <w:rPr>
                <w:rFonts w:cs="Arial"/>
                <w:sz w:val="20"/>
              </w:rPr>
            </w:pPr>
            <w:r>
              <w:rPr>
                <w:rFonts w:cs="Arial"/>
                <w:sz w:val="20"/>
              </w:rPr>
              <w:t xml:space="preserve">Luego de surtir el proceso de investigación , el comité deberá sesionar y de acuerdo con la revisión de los hechos y las circunstancias descritas en la actividad anterior, podrá: </w:t>
            </w:r>
          </w:p>
          <w:p w:rsidR="00915C4D" w:rsidRDefault="00915C4D" w:rsidP="00C155BC">
            <w:pPr>
              <w:rPr>
                <w:rFonts w:cs="Arial"/>
                <w:sz w:val="20"/>
              </w:rPr>
            </w:pPr>
          </w:p>
          <w:p w:rsidR="00915C4D" w:rsidRDefault="00915C4D" w:rsidP="00F80B84">
            <w:pPr>
              <w:rPr>
                <w:rFonts w:cs="Arial"/>
                <w:sz w:val="20"/>
              </w:rPr>
            </w:pPr>
            <w:r>
              <w:rPr>
                <w:rFonts w:cs="Arial"/>
                <w:sz w:val="20"/>
              </w:rPr>
              <w:t>Formular  un plan de mejora concertado entre las partes, para construir, renovar y promover la convivencia laboral, garantizando en todos los casos el principio de la confidencialidad.</w:t>
            </w:r>
          </w:p>
          <w:p w:rsidR="00915C4D" w:rsidRDefault="00915C4D" w:rsidP="00F80B84">
            <w:pPr>
              <w:rPr>
                <w:rFonts w:cs="Arial"/>
                <w:sz w:val="20"/>
              </w:rPr>
            </w:pPr>
          </w:p>
          <w:p w:rsidR="00915C4D" w:rsidRDefault="00915C4D" w:rsidP="00F80B84">
            <w:pPr>
              <w:rPr>
                <w:rFonts w:cs="Arial"/>
                <w:sz w:val="20"/>
              </w:rPr>
            </w:pPr>
            <w:r>
              <w:rPr>
                <w:rFonts w:cs="Arial"/>
                <w:sz w:val="20"/>
              </w:rPr>
              <w:t xml:space="preserve">Hacer las recomendaciones para las partes intervinientes sea afectado o presunto implicado, o para ambos de manera escrita, con compromisos  claros sujetos a verificación. Estas acciones recomendadas, estarán enfocadas a mejorar la Convivencia Laboral. </w:t>
            </w:r>
          </w:p>
          <w:p w:rsidR="009D6688" w:rsidRDefault="009D6688" w:rsidP="00F80B84">
            <w:pPr>
              <w:rPr>
                <w:rFonts w:cs="Arial"/>
                <w:sz w:val="20"/>
              </w:rPr>
            </w:pPr>
          </w:p>
          <w:p w:rsidR="009D6688" w:rsidRDefault="009D6688" w:rsidP="00F80B84">
            <w:pPr>
              <w:rPr>
                <w:rFonts w:cs="Arial"/>
                <w:sz w:val="20"/>
              </w:rPr>
            </w:pPr>
            <w:r>
              <w:rPr>
                <w:rFonts w:cs="Arial"/>
                <w:sz w:val="20"/>
              </w:rPr>
              <w:t xml:space="preserve">Presentar a la alta dirección las recomendaciones para el desarrollo efectivo de las medidas preventivas y correctivas con copia a cada una de las partes involucradas en un tiempo máximo de cinco (5) a diez (10) días calendario. </w:t>
            </w:r>
          </w:p>
          <w:p w:rsidR="00915C4D" w:rsidRDefault="00915C4D" w:rsidP="00F80B84">
            <w:pPr>
              <w:rPr>
                <w:rFonts w:cs="Arial"/>
                <w:sz w:val="20"/>
              </w:rPr>
            </w:pPr>
          </w:p>
          <w:p w:rsidR="00915C4D" w:rsidRDefault="00915C4D" w:rsidP="00F80B84">
            <w:pPr>
              <w:rPr>
                <w:rFonts w:cs="Arial"/>
                <w:sz w:val="20"/>
              </w:rPr>
            </w:pPr>
            <w:r>
              <w:rPr>
                <w:rFonts w:cs="Arial"/>
                <w:sz w:val="20"/>
              </w:rPr>
              <w:t>Activar el proceso disciplinario, de acuerdo con lo definido en el Reglamento Interno de Trabajo, para los eventos en que el resultado de la investigación evidencie una falta disciplinaria por parte de alguno de los intervinientes en</w:t>
            </w:r>
            <w:r w:rsidR="009D6688">
              <w:rPr>
                <w:rFonts w:cs="Arial"/>
                <w:sz w:val="20"/>
              </w:rPr>
              <w:t xml:space="preserve"> este proceso de investigación en un tiempo máximo </w:t>
            </w:r>
            <w:r w:rsidR="009D6688">
              <w:rPr>
                <w:rFonts w:cs="Arial"/>
                <w:sz w:val="20"/>
              </w:rPr>
              <w:lastRenderedPageBreak/>
              <w:t xml:space="preserve">de quince (15) días calendario. </w:t>
            </w:r>
          </w:p>
          <w:p w:rsidR="00915C4D" w:rsidRDefault="00915C4D" w:rsidP="00F80B84">
            <w:pPr>
              <w:rPr>
                <w:rFonts w:cs="Arial"/>
                <w:sz w:val="20"/>
              </w:rPr>
            </w:pPr>
          </w:p>
          <w:p w:rsidR="00915C4D" w:rsidRDefault="00915C4D" w:rsidP="00F80B84">
            <w:pPr>
              <w:rPr>
                <w:rFonts w:cs="Arial"/>
                <w:sz w:val="20"/>
              </w:rPr>
            </w:pPr>
            <w:r>
              <w:rPr>
                <w:rFonts w:cs="Arial"/>
                <w:sz w:val="20"/>
              </w:rPr>
              <w:t xml:space="preserve">Notificar por escrito a ambas partes el fallo del resultado de la investigación de manera personalizada </w:t>
            </w:r>
          </w:p>
        </w:tc>
        <w:tc>
          <w:tcPr>
            <w:tcW w:w="2268" w:type="dxa"/>
            <w:vAlign w:val="center"/>
          </w:tcPr>
          <w:p w:rsidR="00915C4D" w:rsidRDefault="00915C4D" w:rsidP="00D9366F">
            <w:pPr>
              <w:jc w:val="center"/>
              <w:rPr>
                <w:rFonts w:cs="Arial"/>
                <w:sz w:val="18"/>
                <w:szCs w:val="18"/>
              </w:rPr>
            </w:pPr>
            <w:r>
              <w:rPr>
                <w:rFonts w:cs="Arial"/>
                <w:sz w:val="18"/>
                <w:szCs w:val="18"/>
              </w:rPr>
              <w:lastRenderedPageBreak/>
              <w:t>Comité de Convivencia Laboral</w:t>
            </w:r>
          </w:p>
        </w:tc>
        <w:tc>
          <w:tcPr>
            <w:tcW w:w="1560" w:type="dxa"/>
            <w:vAlign w:val="center"/>
          </w:tcPr>
          <w:p w:rsidR="00915C4D" w:rsidRDefault="00915C4D" w:rsidP="00D9366F">
            <w:pPr>
              <w:jc w:val="center"/>
              <w:rPr>
                <w:rFonts w:cs="Arial"/>
                <w:sz w:val="18"/>
                <w:szCs w:val="18"/>
              </w:rPr>
            </w:pPr>
            <w:r>
              <w:rPr>
                <w:rFonts w:cs="Arial"/>
                <w:sz w:val="18"/>
                <w:szCs w:val="18"/>
              </w:rPr>
              <w:t>Acta</w:t>
            </w:r>
          </w:p>
          <w:p w:rsidR="00915C4D" w:rsidRDefault="00915C4D" w:rsidP="00D9366F">
            <w:pPr>
              <w:jc w:val="center"/>
              <w:rPr>
                <w:rFonts w:cs="Arial"/>
                <w:sz w:val="18"/>
                <w:szCs w:val="18"/>
              </w:rPr>
            </w:pPr>
            <w:r>
              <w:rPr>
                <w:rFonts w:cs="Arial"/>
                <w:sz w:val="18"/>
                <w:szCs w:val="18"/>
              </w:rPr>
              <w:t xml:space="preserve">Comunicados </w:t>
            </w:r>
          </w:p>
        </w:tc>
      </w:tr>
      <w:tr w:rsidR="00F80B84" w:rsidRPr="00E06601" w:rsidTr="00813C20">
        <w:trPr>
          <w:trHeight w:val="1778"/>
        </w:trPr>
        <w:tc>
          <w:tcPr>
            <w:tcW w:w="392" w:type="dxa"/>
            <w:vAlign w:val="center"/>
          </w:tcPr>
          <w:p w:rsidR="00F80B84" w:rsidRDefault="00763AEA" w:rsidP="0025480D">
            <w:pPr>
              <w:jc w:val="center"/>
              <w:rPr>
                <w:rFonts w:cs="Arial"/>
                <w:sz w:val="20"/>
              </w:rPr>
            </w:pPr>
            <w:r>
              <w:rPr>
                <w:rFonts w:cs="Arial"/>
                <w:sz w:val="20"/>
              </w:rPr>
              <w:t>6</w:t>
            </w:r>
          </w:p>
        </w:tc>
        <w:tc>
          <w:tcPr>
            <w:tcW w:w="2013" w:type="dxa"/>
            <w:vAlign w:val="center"/>
          </w:tcPr>
          <w:p w:rsidR="00F80B84" w:rsidRDefault="00763AEA" w:rsidP="00C155BC">
            <w:pPr>
              <w:rPr>
                <w:rFonts w:cs="Arial"/>
                <w:sz w:val="20"/>
              </w:rPr>
            </w:pPr>
            <w:r>
              <w:rPr>
                <w:rFonts w:cs="Arial"/>
                <w:sz w:val="20"/>
              </w:rPr>
              <w:t>Seguimiento</w:t>
            </w:r>
          </w:p>
        </w:tc>
        <w:tc>
          <w:tcPr>
            <w:tcW w:w="3373" w:type="dxa"/>
            <w:vAlign w:val="center"/>
          </w:tcPr>
          <w:p w:rsidR="00F80B84" w:rsidRDefault="00763AEA" w:rsidP="00C155BC">
            <w:pPr>
              <w:rPr>
                <w:rFonts w:cs="Arial"/>
                <w:sz w:val="20"/>
              </w:rPr>
            </w:pPr>
            <w:r>
              <w:rPr>
                <w:rFonts w:cs="Arial"/>
                <w:sz w:val="20"/>
              </w:rPr>
              <w:t xml:space="preserve">Realizar seguimiento </w:t>
            </w:r>
            <w:r w:rsidR="009D6688">
              <w:rPr>
                <w:rFonts w:cs="Arial"/>
                <w:sz w:val="20"/>
              </w:rPr>
              <w:t xml:space="preserve">mensual </w:t>
            </w:r>
            <w:r>
              <w:rPr>
                <w:rFonts w:cs="Arial"/>
                <w:sz w:val="20"/>
              </w:rPr>
              <w:t xml:space="preserve">a las recomendaciones dadas por el Comité de Convivencia a las partes involucradas en la queja, verificando su cumplimiento de acuerdo con lo pactado y en las fechas establecidas. </w:t>
            </w:r>
          </w:p>
        </w:tc>
        <w:tc>
          <w:tcPr>
            <w:tcW w:w="2268" w:type="dxa"/>
            <w:vAlign w:val="center"/>
          </w:tcPr>
          <w:p w:rsidR="00F80B84"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F80B84" w:rsidRDefault="00763AEA" w:rsidP="0025480D">
            <w:pPr>
              <w:jc w:val="center"/>
              <w:rPr>
                <w:rFonts w:cs="Arial"/>
                <w:sz w:val="18"/>
                <w:szCs w:val="18"/>
              </w:rPr>
            </w:pPr>
            <w:r>
              <w:rPr>
                <w:rFonts w:cs="Arial"/>
                <w:sz w:val="18"/>
                <w:szCs w:val="18"/>
              </w:rPr>
              <w:t>Acta</w:t>
            </w:r>
          </w:p>
        </w:tc>
      </w:tr>
      <w:tr w:rsidR="00F80B84" w:rsidRPr="00E06601" w:rsidTr="00813C20">
        <w:trPr>
          <w:trHeight w:val="1554"/>
        </w:trPr>
        <w:tc>
          <w:tcPr>
            <w:tcW w:w="392" w:type="dxa"/>
            <w:vAlign w:val="center"/>
          </w:tcPr>
          <w:p w:rsidR="00F80B84" w:rsidRDefault="00763AEA" w:rsidP="0025480D">
            <w:pPr>
              <w:jc w:val="center"/>
              <w:rPr>
                <w:rFonts w:cs="Arial"/>
                <w:sz w:val="20"/>
              </w:rPr>
            </w:pPr>
            <w:r>
              <w:rPr>
                <w:rFonts w:cs="Arial"/>
                <w:sz w:val="20"/>
              </w:rPr>
              <w:t>7</w:t>
            </w:r>
          </w:p>
        </w:tc>
        <w:tc>
          <w:tcPr>
            <w:tcW w:w="2013" w:type="dxa"/>
            <w:vAlign w:val="center"/>
          </w:tcPr>
          <w:p w:rsidR="00F80B84" w:rsidRDefault="00763AEA" w:rsidP="00C155BC">
            <w:pPr>
              <w:rPr>
                <w:rFonts w:cs="Arial"/>
                <w:sz w:val="20"/>
              </w:rPr>
            </w:pPr>
            <w:r>
              <w:rPr>
                <w:rFonts w:cs="Arial"/>
                <w:sz w:val="20"/>
              </w:rPr>
              <w:t>Archivar</w:t>
            </w:r>
          </w:p>
        </w:tc>
        <w:tc>
          <w:tcPr>
            <w:tcW w:w="3373" w:type="dxa"/>
            <w:vAlign w:val="center"/>
          </w:tcPr>
          <w:p w:rsidR="00F80B84" w:rsidRDefault="00763AEA" w:rsidP="00C155BC">
            <w:pPr>
              <w:rPr>
                <w:rFonts w:cs="Arial"/>
                <w:sz w:val="20"/>
              </w:rPr>
            </w:pPr>
            <w:r>
              <w:rPr>
                <w:rFonts w:cs="Arial"/>
                <w:sz w:val="20"/>
              </w:rPr>
              <w:t xml:space="preserve">Enviar documentación del proceso a la carpeta del comité de Convivencia Laboral. En caso de que se genere una sanción disciplinaria </w:t>
            </w:r>
            <w:r w:rsidR="00995CEB">
              <w:rPr>
                <w:rFonts w:cs="Arial"/>
                <w:sz w:val="20"/>
              </w:rPr>
              <w:t xml:space="preserve">esta irá a la historia laboral </w:t>
            </w:r>
            <w:r>
              <w:rPr>
                <w:rFonts w:cs="Arial"/>
                <w:sz w:val="20"/>
              </w:rPr>
              <w:t xml:space="preserve">del servidor público sin el detalle del caso. </w:t>
            </w:r>
          </w:p>
        </w:tc>
        <w:tc>
          <w:tcPr>
            <w:tcW w:w="2268" w:type="dxa"/>
            <w:vAlign w:val="center"/>
          </w:tcPr>
          <w:p w:rsidR="00F80B84"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F80B84" w:rsidRDefault="00763AEA" w:rsidP="0025480D">
            <w:pPr>
              <w:jc w:val="center"/>
              <w:rPr>
                <w:rFonts w:cs="Arial"/>
                <w:sz w:val="18"/>
                <w:szCs w:val="18"/>
              </w:rPr>
            </w:pPr>
            <w:r>
              <w:rPr>
                <w:rFonts w:cs="Arial"/>
                <w:sz w:val="18"/>
                <w:szCs w:val="18"/>
              </w:rPr>
              <w:t xml:space="preserve">Documentos de sustentación del proceso </w:t>
            </w:r>
          </w:p>
        </w:tc>
      </w:tr>
      <w:tr w:rsidR="00763AEA" w:rsidRPr="00E06601" w:rsidTr="0025480D">
        <w:trPr>
          <w:trHeight w:val="2190"/>
        </w:trPr>
        <w:tc>
          <w:tcPr>
            <w:tcW w:w="392" w:type="dxa"/>
            <w:vAlign w:val="center"/>
          </w:tcPr>
          <w:p w:rsidR="00763AEA" w:rsidRDefault="00763AEA" w:rsidP="0025480D">
            <w:pPr>
              <w:jc w:val="center"/>
              <w:rPr>
                <w:rFonts w:cs="Arial"/>
                <w:sz w:val="20"/>
              </w:rPr>
            </w:pPr>
            <w:r>
              <w:rPr>
                <w:rFonts w:cs="Arial"/>
                <w:sz w:val="20"/>
              </w:rPr>
              <w:t>8</w:t>
            </w:r>
          </w:p>
        </w:tc>
        <w:tc>
          <w:tcPr>
            <w:tcW w:w="2013" w:type="dxa"/>
            <w:vAlign w:val="center"/>
          </w:tcPr>
          <w:p w:rsidR="00763AEA" w:rsidRDefault="00763AEA" w:rsidP="00C155BC">
            <w:pPr>
              <w:rPr>
                <w:rFonts w:cs="Arial"/>
                <w:sz w:val="20"/>
              </w:rPr>
            </w:pPr>
            <w:r>
              <w:rPr>
                <w:rFonts w:cs="Arial"/>
                <w:sz w:val="20"/>
              </w:rPr>
              <w:t>Rechazar la Queja</w:t>
            </w:r>
          </w:p>
        </w:tc>
        <w:tc>
          <w:tcPr>
            <w:tcW w:w="3373" w:type="dxa"/>
            <w:vAlign w:val="center"/>
          </w:tcPr>
          <w:p w:rsidR="00763AEA" w:rsidRDefault="00763AEA" w:rsidP="00C155BC">
            <w:pPr>
              <w:rPr>
                <w:rFonts w:cs="Arial"/>
                <w:sz w:val="18"/>
                <w:szCs w:val="18"/>
              </w:rPr>
            </w:pPr>
            <w:r>
              <w:rPr>
                <w:rFonts w:cs="Arial"/>
                <w:sz w:val="20"/>
              </w:rPr>
              <w:t xml:space="preserve">Si el </w:t>
            </w:r>
            <w:r>
              <w:rPr>
                <w:rFonts w:cs="Arial"/>
                <w:sz w:val="18"/>
                <w:szCs w:val="18"/>
              </w:rPr>
              <w:t xml:space="preserve">Comité de Convivencia Laboral, determina en su revisión de la queja que esta NO constituye conducta de Acoso Laboral, y no se requiere la apertura de un proceso de investigación deberá informar al servidor público por escrito y justificando la decisión adoptada. </w:t>
            </w:r>
          </w:p>
          <w:p w:rsidR="00763AEA" w:rsidRDefault="00763AEA" w:rsidP="00C155BC">
            <w:pPr>
              <w:rPr>
                <w:rFonts w:cs="Arial"/>
                <w:sz w:val="18"/>
                <w:szCs w:val="18"/>
              </w:rPr>
            </w:pPr>
          </w:p>
          <w:p w:rsidR="00763AEA" w:rsidRDefault="00763AEA" w:rsidP="00C155BC">
            <w:pPr>
              <w:rPr>
                <w:rFonts w:cs="Arial"/>
                <w:sz w:val="20"/>
              </w:rPr>
            </w:pPr>
            <w:r>
              <w:rPr>
                <w:rFonts w:cs="Arial"/>
                <w:sz w:val="18"/>
                <w:szCs w:val="18"/>
              </w:rPr>
              <w:t>Igualmente, podrá determinar que los hechos reportados, aunque no constituyan una conducta de acoso laboral por no cumplir con los requisitos en las leyes existentes para tal fin.</w:t>
            </w:r>
          </w:p>
        </w:tc>
        <w:tc>
          <w:tcPr>
            <w:tcW w:w="2268" w:type="dxa"/>
            <w:vAlign w:val="center"/>
          </w:tcPr>
          <w:p w:rsidR="00763AEA"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763AEA" w:rsidRDefault="00763AEA" w:rsidP="0025480D">
            <w:pPr>
              <w:jc w:val="center"/>
              <w:rPr>
                <w:rFonts w:cs="Arial"/>
                <w:sz w:val="18"/>
                <w:szCs w:val="18"/>
              </w:rPr>
            </w:pPr>
            <w:r>
              <w:rPr>
                <w:rFonts w:cs="Arial"/>
                <w:sz w:val="18"/>
                <w:szCs w:val="18"/>
              </w:rPr>
              <w:t>Comunicado al servidor público sobre el rechazo de la queja</w:t>
            </w:r>
            <w:r w:rsidR="00142C00">
              <w:rPr>
                <w:rFonts w:cs="Arial"/>
                <w:sz w:val="18"/>
                <w:szCs w:val="18"/>
              </w:rPr>
              <w:t xml:space="preserve">. </w:t>
            </w:r>
          </w:p>
        </w:tc>
      </w:tr>
    </w:tbl>
    <w:p w:rsidR="00142C00" w:rsidRDefault="00142C00" w:rsidP="00142C00">
      <w:pPr>
        <w:rPr>
          <w:rFonts w:cs="Arial"/>
          <w:color w:val="000000" w:themeColor="text1"/>
          <w:sz w:val="22"/>
          <w:szCs w:val="22"/>
        </w:rPr>
      </w:pPr>
    </w:p>
    <w:p w:rsidR="00142C00" w:rsidRPr="004B48AA" w:rsidRDefault="00142C00" w:rsidP="00142C00">
      <w:pPr>
        <w:rPr>
          <w:rFonts w:cs="Arial"/>
          <w:b/>
          <w:color w:val="000000" w:themeColor="text1"/>
          <w:sz w:val="22"/>
          <w:szCs w:val="22"/>
        </w:rPr>
      </w:pPr>
      <w:r>
        <w:rPr>
          <w:rFonts w:cs="Arial"/>
          <w:b/>
          <w:color w:val="000000" w:themeColor="text1"/>
          <w:sz w:val="22"/>
          <w:szCs w:val="22"/>
        </w:rPr>
        <w:t>7</w:t>
      </w:r>
      <w:r w:rsidRPr="004B48AA">
        <w:rPr>
          <w:rFonts w:cs="Arial"/>
          <w:b/>
          <w:color w:val="000000" w:themeColor="text1"/>
          <w:sz w:val="22"/>
          <w:szCs w:val="22"/>
        </w:rPr>
        <w:t xml:space="preserve">. </w:t>
      </w:r>
      <w:r>
        <w:rPr>
          <w:rFonts w:cs="Arial"/>
          <w:b/>
          <w:color w:val="000000" w:themeColor="text1"/>
          <w:sz w:val="22"/>
          <w:szCs w:val="22"/>
        </w:rPr>
        <w:t xml:space="preserve">INFORMACIÓN DOCUMENTADA </w:t>
      </w:r>
    </w:p>
    <w:p w:rsidR="00142C00" w:rsidRPr="004B48AA" w:rsidRDefault="00142C00" w:rsidP="00142C00">
      <w:pPr>
        <w:rPr>
          <w:rFonts w:cs="Arial"/>
          <w:color w:val="000000" w:themeColor="text1"/>
          <w:sz w:val="22"/>
          <w:szCs w:val="22"/>
        </w:rPr>
      </w:pPr>
    </w:p>
    <w:tbl>
      <w:tblPr>
        <w:tblpPr w:leftFromText="142" w:rightFromText="142" w:vertAnchor="text" w:tblpXSpec="center" w:tblpY="1"/>
        <w:tblOverlap w:val="neve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3"/>
        <w:gridCol w:w="1439"/>
        <w:gridCol w:w="1822"/>
        <w:gridCol w:w="1470"/>
        <w:gridCol w:w="1364"/>
        <w:gridCol w:w="1313"/>
        <w:gridCol w:w="1523"/>
      </w:tblGrid>
      <w:tr w:rsidR="00142C00" w:rsidRPr="004B48AA" w:rsidTr="000766FB">
        <w:trPr>
          <w:trHeight w:val="545"/>
          <w:tblHeader/>
        </w:trPr>
        <w:tc>
          <w:tcPr>
            <w:tcW w:w="1423" w:type="dxa"/>
            <w:shd w:val="clear" w:color="auto" w:fill="BFBFBF" w:themeFill="background1" w:themeFillShade="BF"/>
            <w:vAlign w:val="center"/>
          </w:tcPr>
          <w:p w:rsidR="00142C00" w:rsidRPr="004B48AA" w:rsidRDefault="00142C00" w:rsidP="000766FB">
            <w:pPr>
              <w:jc w:val="center"/>
              <w:rPr>
                <w:rFonts w:cs="Arial"/>
                <w:color w:val="000000" w:themeColor="text1"/>
                <w:szCs w:val="22"/>
              </w:rPr>
            </w:pPr>
            <w:r w:rsidRPr="004B48AA">
              <w:rPr>
                <w:rFonts w:cs="Arial"/>
                <w:b/>
                <w:color w:val="000000" w:themeColor="text1"/>
                <w:sz w:val="22"/>
                <w:szCs w:val="22"/>
              </w:rPr>
              <w:t>Registro</w:t>
            </w:r>
          </w:p>
        </w:tc>
        <w:tc>
          <w:tcPr>
            <w:tcW w:w="1439"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Responsable</w:t>
            </w:r>
          </w:p>
        </w:tc>
        <w:tc>
          <w:tcPr>
            <w:tcW w:w="1822"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Lugar de Almacenamiento</w:t>
            </w:r>
          </w:p>
        </w:tc>
        <w:tc>
          <w:tcPr>
            <w:tcW w:w="1470"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Recuperación</w:t>
            </w:r>
          </w:p>
        </w:tc>
        <w:tc>
          <w:tcPr>
            <w:tcW w:w="1364"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Protección</w:t>
            </w:r>
          </w:p>
        </w:tc>
        <w:tc>
          <w:tcPr>
            <w:tcW w:w="1313"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Tiempo de Retención</w:t>
            </w:r>
          </w:p>
        </w:tc>
        <w:tc>
          <w:tcPr>
            <w:tcW w:w="1523"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Disposición Final</w:t>
            </w:r>
          </w:p>
        </w:tc>
      </w:tr>
      <w:tr w:rsidR="00915C4D" w:rsidRPr="004B48AA" w:rsidTr="000766FB">
        <w:trPr>
          <w:trHeight w:val="1250"/>
          <w:tblHeader/>
        </w:trPr>
        <w:tc>
          <w:tcPr>
            <w:tcW w:w="1423" w:type="dxa"/>
            <w:vAlign w:val="center"/>
          </w:tcPr>
          <w:p w:rsidR="00915C4D" w:rsidRDefault="00915C4D" w:rsidP="00915C4D">
            <w:pPr>
              <w:jc w:val="center"/>
              <w:rPr>
                <w:rFonts w:cs="Arial"/>
                <w:color w:val="000000" w:themeColor="text1"/>
                <w:szCs w:val="22"/>
              </w:rPr>
            </w:pPr>
            <w:r>
              <w:rPr>
                <w:rFonts w:cs="Arial"/>
                <w:color w:val="000000" w:themeColor="text1"/>
                <w:szCs w:val="22"/>
              </w:rPr>
              <w:t>FTH-19</w:t>
            </w:r>
          </w:p>
          <w:p w:rsidR="00915C4D" w:rsidRPr="004B48AA" w:rsidRDefault="00915C4D" w:rsidP="00915C4D">
            <w:pPr>
              <w:jc w:val="center"/>
              <w:rPr>
                <w:rFonts w:cs="Arial"/>
                <w:color w:val="000000" w:themeColor="text1"/>
                <w:szCs w:val="22"/>
              </w:rPr>
            </w:pPr>
            <w:r>
              <w:rPr>
                <w:rFonts w:cs="Arial"/>
                <w:color w:val="000000" w:themeColor="text1"/>
                <w:szCs w:val="22"/>
              </w:rPr>
              <w:t>Queja ante el Comité de Convivencia Laboral</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r w:rsidR="00915C4D" w:rsidRPr="004B48AA" w:rsidTr="000766FB">
        <w:trPr>
          <w:trHeight w:val="1250"/>
          <w:tblHeader/>
        </w:trPr>
        <w:tc>
          <w:tcPr>
            <w:tcW w:w="1423" w:type="dxa"/>
            <w:vAlign w:val="center"/>
          </w:tcPr>
          <w:p w:rsidR="00915C4D" w:rsidRDefault="00915C4D" w:rsidP="00915C4D">
            <w:pPr>
              <w:jc w:val="center"/>
              <w:rPr>
                <w:rFonts w:cs="Arial"/>
                <w:color w:val="000000" w:themeColor="text1"/>
                <w:szCs w:val="22"/>
              </w:rPr>
            </w:pPr>
            <w:r>
              <w:rPr>
                <w:rFonts w:cs="Arial"/>
                <w:color w:val="000000" w:themeColor="text1"/>
                <w:szCs w:val="22"/>
              </w:rPr>
              <w:lastRenderedPageBreak/>
              <w:t>Acta</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r w:rsidR="00915C4D" w:rsidRPr="004B48AA" w:rsidTr="000766FB">
        <w:trPr>
          <w:trHeight w:val="1250"/>
          <w:tblHeader/>
        </w:trPr>
        <w:tc>
          <w:tcPr>
            <w:tcW w:w="1423" w:type="dxa"/>
            <w:vAlign w:val="center"/>
          </w:tcPr>
          <w:p w:rsidR="00915C4D" w:rsidRPr="00915C4D" w:rsidRDefault="00915C4D" w:rsidP="00915C4D">
            <w:pPr>
              <w:jc w:val="center"/>
              <w:rPr>
                <w:rFonts w:cs="Arial"/>
                <w:color w:val="000000" w:themeColor="text1"/>
                <w:szCs w:val="22"/>
              </w:rPr>
            </w:pPr>
            <w:r w:rsidRPr="00915C4D">
              <w:rPr>
                <w:rFonts w:cs="Arial"/>
                <w:color w:val="000000" w:themeColor="text1"/>
                <w:sz w:val="22"/>
                <w:szCs w:val="22"/>
              </w:rPr>
              <w:t xml:space="preserve">Comunicados </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bl>
    <w:p w:rsidR="00142C00" w:rsidRPr="004B48AA" w:rsidRDefault="00142C00" w:rsidP="00142C00">
      <w:pPr>
        <w:rPr>
          <w:rFonts w:cs="Arial"/>
          <w:color w:val="000000" w:themeColor="text1"/>
          <w:sz w:val="22"/>
          <w:szCs w:val="22"/>
        </w:rPr>
      </w:pPr>
    </w:p>
    <w:p w:rsidR="00142C00" w:rsidRPr="004B48AA" w:rsidRDefault="00142C00" w:rsidP="00142C00">
      <w:pPr>
        <w:rPr>
          <w:rFonts w:cs="Arial"/>
          <w:b/>
          <w:color w:val="000000" w:themeColor="text1"/>
          <w:sz w:val="22"/>
          <w:szCs w:val="22"/>
        </w:rPr>
      </w:pPr>
      <w:r>
        <w:rPr>
          <w:rFonts w:cs="Arial"/>
          <w:b/>
          <w:color w:val="000000" w:themeColor="text1"/>
          <w:sz w:val="22"/>
          <w:szCs w:val="22"/>
        </w:rPr>
        <w:t>8</w:t>
      </w:r>
      <w:r w:rsidRPr="004B48AA">
        <w:rPr>
          <w:rFonts w:cs="Arial"/>
          <w:b/>
          <w:color w:val="000000" w:themeColor="text1"/>
          <w:sz w:val="22"/>
          <w:szCs w:val="22"/>
        </w:rPr>
        <w:t>. CONTROL DECAMBIOS</w:t>
      </w:r>
    </w:p>
    <w:p w:rsidR="00142C00" w:rsidRPr="004B48AA" w:rsidRDefault="00142C00" w:rsidP="00142C00">
      <w:pPr>
        <w:rPr>
          <w:rFonts w:cs="Arial"/>
          <w:color w:val="000000" w:themeColor="text1"/>
          <w:sz w:val="22"/>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1701"/>
        <w:gridCol w:w="1984"/>
        <w:gridCol w:w="2268"/>
        <w:gridCol w:w="2693"/>
      </w:tblGrid>
      <w:tr w:rsidR="00142C00" w:rsidRPr="004B48AA" w:rsidTr="00142C00">
        <w:trPr>
          <w:trHeight w:val="782"/>
        </w:trPr>
        <w:tc>
          <w:tcPr>
            <w:tcW w:w="1702"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Versión</w:t>
            </w:r>
          </w:p>
        </w:tc>
        <w:tc>
          <w:tcPr>
            <w:tcW w:w="1701"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 xml:space="preserve">Fecha </w:t>
            </w:r>
            <w:r w:rsidRPr="004B48AA">
              <w:rPr>
                <w:rFonts w:cs="Arial"/>
                <w:color w:val="000000" w:themeColor="text1"/>
                <w:sz w:val="22"/>
                <w:szCs w:val="22"/>
              </w:rPr>
              <w:t>[</w:t>
            </w:r>
            <w:proofErr w:type="spellStart"/>
            <w:r w:rsidRPr="004B48AA">
              <w:rPr>
                <w:rFonts w:cs="Arial"/>
                <w:color w:val="000000" w:themeColor="text1"/>
                <w:sz w:val="22"/>
                <w:szCs w:val="22"/>
              </w:rPr>
              <w:t>dd</w:t>
            </w:r>
            <w:proofErr w:type="spellEnd"/>
            <w:r w:rsidRPr="004B48AA">
              <w:rPr>
                <w:rFonts w:cs="Arial"/>
                <w:color w:val="000000" w:themeColor="text1"/>
                <w:sz w:val="22"/>
                <w:szCs w:val="22"/>
              </w:rPr>
              <w:t>/mm/</w:t>
            </w:r>
            <w:proofErr w:type="spellStart"/>
            <w:r w:rsidRPr="004B48AA">
              <w:rPr>
                <w:rFonts w:cs="Arial"/>
                <w:color w:val="000000" w:themeColor="text1"/>
                <w:sz w:val="22"/>
                <w:szCs w:val="22"/>
              </w:rPr>
              <w:t>aaaa</w:t>
            </w:r>
            <w:proofErr w:type="spellEnd"/>
            <w:r w:rsidRPr="004B48AA">
              <w:rPr>
                <w:rFonts w:cs="Arial"/>
                <w:color w:val="000000" w:themeColor="text1"/>
                <w:sz w:val="22"/>
                <w:szCs w:val="22"/>
              </w:rPr>
              <w:t>]</w:t>
            </w:r>
          </w:p>
        </w:tc>
        <w:tc>
          <w:tcPr>
            <w:tcW w:w="1984"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Revisó</w:t>
            </w:r>
          </w:p>
        </w:tc>
        <w:tc>
          <w:tcPr>
            <w:tcW w:w="2268"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Aprobó</w:t>
            </w:r>
          </w:p>
        </w:tc>
        <w:tc>
          <w:tcPr>
            <w:tcW w:w="2693"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Razón de la actualización</w:t>
            </w:r>
          </w:p>
        </w:tc>
      </w:tr>
      <w:tr w:rsidR="00142C00" w:rsidRPr="004B48AA" w:rsidTr="00142C00">
        <w:trPr>
          <w:trHeight w:val="1135"/>
        </w:trPr>
        <w:tc>
          <w:tcPr>
            <w:tcW w:w="1702" w:type="dxa"/>
            <w:vAlign w:val="center"/>
          </w:tcPr>
          <w:p w:rsidR="00142C00" w:rsidRPr="004B48AA" w:rsidRDefault="00142C00" w:rsidP="000766FB">
            <w:pPr>
              <w:jc w:val="center"/>
              <w:rPr>
                <w:rFonts w:cs="Arial"/>
                <w:color w:val="000000" w:themeColor="text1"/>
                <w:szCs w:val="22"/>
              </w:rPr>
            </w:pPr>
            <w:r w:rsidRPr="004B48AA">
              <w:rPr>
                <w:rFonts w:cs="Arial"/>
                <w:color w:val="000000" w:themeColor="text1"/>
                <w:sz w:val="22"/>
                <w:szCs w:val="22"/>
              </w:rPr>
              <w:t>01</w:t>
            </w:r>
          </w:p>
        </w:tc>
        <w:tc>
          <w:tcPr>
            <w:tcW w:w="1701" w:type="dxa"/>
            <w:vAlign w:val="center"/>
          </w:tcPr>
          <w:p w:rsidR="00142C00" w:rsidRPr="004B48AA" w:rsidRDefault="00915C4D" w:rsidP="000766FB">
            <w:pPr>
              <w:jc w:val="center"/>
              <w:rPr>
                <w:rFonts w:cs="Arial"/>
                <w:color w:val="000000" w:themeColor="text1"/>
                <w:szCs w:val="22"/>
              </w:rPr>
            </w:pPr>
            <w:r>
              <w:rPr>
                <w:rFonts w:cs="Arial"/>
                <w:color w:val="000000" w:themeColor="text1"/>
                <w:szCs w:val="22"/>
              </w:rPr>
              <w:t>31/10/2024</w:t>
            </w:r>
          </w:p>
        </w:tc>
        <w:tc>
          <w:tcPr>
            <w:tcW w:w="1984" w:type="dxa"/>
            <w:vAlign w:val="center"/>
          </w:tcPr>
          <w:p w:rsidR="00142C00" w:rsidRPr="004B48AA" w:rsidRDefault="00142C00" w:rsidP="000766FB">
            <w:pPr>
              <w:jc w:val="center"/>
              <w:rPr>
                <w:rFonts w:cs="Arial"/>
                <w:color w:val="000000" w:themeColor="text1"/>
                <w:szCs w:val="22"/>
                <w:lang w:val="de-DE"/>
              </w:rPr>
            </w:pPr>
            <w:r>
              <w:rPr>
                <w:rFonts w:cs="Arial"/>
                <w:color w:val="000000" w:themeColor="text1"/>
                <w:sz w:val="22"/>
                <w:szCs w:val="22"/>
                <w:lang w:val="de-DE"/>
              </w:rPr>
              <w:t>Comité Convivencia Laboral</w:t>
            </w:r>
          </w:p>
        </w:tc>
        <w:tc>
          <w:tcPr>
            <w:tcW w:w="2268" w:type="dxa"/>
            <w:vAlign w:val="center"/>
          </w:tcPr>
          <w:p w:rsidR="00142C00" w:rsidRPr="004B48AA" w:rsidRDefault="00142C00" w:rsidP="000766FB">
            <w:pPr>
              <w:jc w:val="center"/>
              <w:rPr>
                <w:rFonts w:cs="Arial"/>
                <w:color w:val="000000" w:themeColor="text1"/>
                <w:szCs w:val="22"/>
              </w:rPr>
            </w:pPr>
            <w:r>
              <w:rPr>
                <w:rFonts w:cs="Arial"/>
                <w:color w:val="000000" w:themeColor="text1"/>
                <w:sz w:val="22"/>
                <w:szCs w:val="22"/>
              </w:rPr>
              <w:t xml:space="preserve">Comité Institucional de Gestión y Desempeño </w:t>
            </w:r>
          </w:p>
        </w:tc>
        <w:tc>
          <w:tcPr>
            <w:tcW w:w="2693" w:type="dxa"/>
            <w:vAlign w:val="center"/>
          </w:tcPr>
          <w:p w:rsidR="00142C00" w:rsidRPr="004B48AA" w:rsidRDefault="00142C00" w:rsidP="000766FB">
            <w:pPr>
              <w:jc w:val="center"/>
              <w:rPr>
                <w:rFonts w:cs="Arial"/>
                <w:color w:val="000000" w:themeColor="text1"/>
                <w:szCs w:val="22"/>
              </w:rPr>
            </w:pPr>
            <w:r w:rsidRPr="004B48AA">
              <w:rPr>
                <w:rFonts w:cs="Arial"/>
                <w:color w:val="000000" w:themeColor="text1"/>
                <w:sz w:val="22"/>
                <w:szCs w:val="22"/>
              </w:rPr>
              <w:t>Elaboración del documento</w:t>
            </w:r>
          </w:p>
        </w:tc>
      </w:tr>
      <w:tr w:rsidR="0020198C" w:rsidRPr="004B48AA" w:rsidTr="00142C00">
        <w:trPr>
          <w:trHeight w:val="1135"/>
        </w:trPr>
        <w:tc>
          <w:tcPr>
            <w:tcW w:w="1702" w:type="dxa"/>
            <w:vAlign w:val="center"/>
          </w:tcPr>
          <w:p w:rsidR="0020198C" w:rsidRPr="004B48AA" w:rsidRDefault="0020198C" w:rsidP="000766FB">
            <w:pPr>
              <w:jc w:val="center"/>
              <w:rPr>
                <w:rFonts w:cs="Arial"/>
                <w:color w:val="000000" w:themeColor="text1"/>
                <w:sz w:val="22"/>
                <w:szCs w:val="22"/>
              </w:rPr>
            </w:pPr>
            <w:r>
              <w:rPr>
                <w:rFonts w:cs="Arial"/>
                <w:color w:val="000000" w:themeColor="text1"/>
                <w:sz w:val="22"/>
                <w:szCs w:val="22"/>
              </w:rPr>
              <w:t>02</w:t>
            </w:r>
          </w:p>
        </w:tc>
        <w:tc>
          <w:tcPr>
            <w:tcW w:w="1701" w:type="dxa"/>
            <w:vAlign w:val="center"/>
          </w:tcPr>
          <w:p w:rsidR="0020198C" w:rsidRDefault="0020198C" w:rsidP="000766FB">
            <w:pPr>
              <w:jc w:val="center"/>
              <w:rPr>
                <w:rFonts w:cs="Arial"/>
                <w:color w:val="000000" w:themeColor="text1"/>
                <w:szCs w:val="22"/>
              </w:rPr>
            </w:pPr>
            <w:r>
              <w:rPr>
                <w:rFonts w:cs="Arial"/>
                <w:color w:val="000000" w:themeColor="text1"/>
                <w:szCs w:val="22"/>
              </w:rPr>
              <w:t>10/09/2025</w:t>
            </w:r>
          </w:p>
        </w:tc>
        <w:tc>
          <w:tcPr>
            <w:tcW w:w="1984" w:type="dxa"/>
            <w:vAlign w:val="center"/>
          </w:tcPr>
          <w:p w:rsidR="0020198C" w:rsidRDefault="0020198C" w:rsidP="000766FB">
            <w:pPr>
              <w:jc w:val="center"/>
              <w:rPr>
                <w:rFonts w:cs="Arial"/>
                <w:color w:val="000000" w:themeColor="text1"/>
                <w:sz w:val="22"/>
                <w:szCs w:val="22"/>
                <w:lang w:val="de-DE"/>
              </w:rPr>
            </w:pPr>
            <w:r>
              <w:rPr>
                <w:rFonts w:cs="Arial"/>
                <w:color w:val="000000" w:themeColor="text1"/>
                <w:sz w:val="22"/>
                <w:szCs w:val="22"/>
                <w:lang w:val="de-DE"/>
              </w:rPr>
              <w:t>Asesora Seguridad y Salud en el Trabajo</w:t>
            </w:r>
          </w:p>
        </w:tc>
        <w:tc>
          <w:tcPr>
            <w:tcW w:w="2268" w:type="dxa"/>
            <w:vAlign w:val="center"/>
          </w:tcPr>
          <w:p w:rsidR="0020198C" w:rsidRPr="0020198C" w:rsidRDefault="0020198C" w:rsidP="000766FB">
            <w:pPr>
              <w:jc w:val="center"/>
              <w:rPr>
                <w:rFonts w:cs="Arial"/>
                <w:color w:val="000000" w:themeColor="text1"/>
                <w:sz w:val="22"/>
                <w:szCs w:val="22"/>
                <w:lang w:val="de-DE"/>
              </w:rPr>
            </w:pPr>
            <w:r>
              <w:rPr>
                <w:rFonts w:cs="Arial"/>
                <w:color w:val="000000" w:themeColor="text1"/>
                <w:sz w:val="22"/>
                <w:szCs w:val="22"/>
                <w:lang w:val="de-DE"/>
              </w:rPr>
              <w:t>SGC</w:t>
            </w:r>
          </w:p>
        </w:tc>
        <w:tc>
          <w:tcPr>
            <w:tcW w:w="2693" w:type="dxa"/>
            <w:vAlign w:val="center"/>
          </w:tcPr>
          <w:p w:rsidR="0020198C" w:rsidRPr="004B48AA" w:rsidRDefault="0020198C" w:rsidP="000766FB">
            <w:pPr>
              <w:jc w:val="center"/>
              <w:rPr>
                <w:rFonts w:cs="Arial"/>
                <w:color w:val="000000" w:themeColor="text1"/>
                <w:sz w:val="22"/>
                <w:szCs w:val="22"/>
              </w:rPr>
            </w:pPr>
            <w:r>
              <w:rPr>
                <w:rFonts w:cs="Arial"/>
                <w:color w:val="000000" w:themeColor="text1"/>
                <w:sz w:val="22"/>
                <w:szCs w:val="22"/>
              </w:rPr>
              <w:t>Actualización del procedimiento según nuevas normas del Ministerio de Trabajo bajo la Resolución 3461 de 2025 (1 septiembre)</w:t>
            </w:r>
          </w:p>
        </w:tc>
      </w:tr>
    </w:tbl>
    <w:p w:rsidR="00142C00" w:rsidRPr="004B48AA" w:rsidRDefault="00142C00" w:rsidP="00142C00">
      <w:pPr>
        <w:rPr>
          <w:rFonts w:cs="Arial"/>
          <w:color w:val="000000" w:themeColor="text1"/>
          <w:sz w:val="22"/>
          <w:szCs w:val="22"/>
        </w:rPr>
      </w:pPr>
    </w:p>
    <w:p w:rsidR="006E5620" w:rsidRPr="00C65E3A" w:rsidRDefault="006E5620" w:rsidP="009E7531">
      <w:pPr>
        <w:rPr>
          <w:rFonts w:cs="Arial"/>
          <w:szCs w:val="24"/>
        </w:rPr>
      </w:pPr>
      <w:bookmarkStart w:id="0" w:name="_GoBack"/>
      <w:bookmarkEnd w:id="0"/>
    </w:p>
    <w:sectPr w:rsidR="006E5620" w:rsidRPr="00C65E3A" w:rsidSect="003744C0">
      <w:headerReference w:type="even" r:id="rId8"/>
      <w:headerReference w:type="default" r:id="rId9"/>
      <w:footerReference w:type="even" r:id="rId10"/>
      <w:footerReference w:type="default" r:id="rId11"/>
      <w:headerReference w:type="first" r:id="rId12"/>
      <w:footerReference w:type="first" r:id="rId13"/>
      <w:pgSz w:w="12240" w:h="15840" w:code="1"/>
      <w:pgMar w:top="1531" w:right="1701" w:bottom="181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D0" w:rsidRDefault="00D964D0" w:rsidP="00C50F77">
      <w:r>
        <w:separator/>
      </w:r>
    </w:p>
  </w:endnote>
  <w:endnote w:type="continuationSeparator" w:id="0">
    <w:p w:rsidR="00D964D0" w:rsidRDefault="00D964D0" w:rsidP="00C5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EA" w:rsidRDefault="00763A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2" w:type="dxa"/>
      <w:tblInd w:w="-1701" w:type="dxa"/>
      <w:tblLook w:val="04A0" w:firstRow="1" w:lastRow="0" w:firstColumn="1" w:lastColumn="0" w:noHBand="0" w:noVBand="1"/>
    </w:tblPr>
    <w:tblGrid>
      <w:gridCol w:w="12226"/>
      <w:gridCol w:w="222"/>
    </w:tblGrid>
    <w:tr w:rsidR="00763AEA" w:rsidRPr="00E25F48" w:rsidTr="00D056B2">
      <w:tc>
        <w:tcPr>
          <w:tcW w:w="5796" w:type="dxa"/>
          <w:shd w:val="clear" w:color="auto" w:fill="auto"/>
        </w:tcPr>
        <w:p w:rsidR="00763AEA" w:rsidRPr="00E25F48" w:rsidRDefault="00763AEA" w:rsidP="00D056B2">
          <w:pPr>
            <w:pStyle w:val="Piedepgina"/>
            <w:jc w:val="right"/>
          </w:pPr>
          <w:r>
            <w:rPr>
              <w:noProof/>
              <w:lang w:val="es-CO" w:eastAsia="es-CO"/>
            </w:rPr>
            <w:drawing>
              <wp:inline distT="0" distB="0" distL="0" distR="0">
                <wp:extent cx="7607300" cy="930364"/>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tretch>
                          <a:fillRect/>
                        </a:stretch>
                      </pic:blipFill>
                      <pic:spPr bwMode="auto">
                        <a:xfrm>
                          <a:off x="0" y="0"/>
                          <a:ext cx="7607300" cy="930364"/>
                        </a:xfrm>
                        <a:prstGeom prst="rect">
                          <a:avLst/>
                        </a:prstGeom>
                        <a:noFill/>
                        <a:ln w="9525">
                          <a:noFill/>
                          <a:miter lim="800000"/>
                          <a:headEnd/>
                          <a:tailEnd/>
                        </a:ln>
                      </pic:spPr>
                    </pic:pic>
                  </a:graphicData>
                </a:graphic>
              </wp:inline>
            </w:drawing>
          </w:r>
        </w:p>
      </w:tc>
      <w:tc>
        <w:tcPr>
          <w:tcW w:w="5936" w:type="dxa"/>
          <w:shd w:val="clear" w:color="auto" w:fill="auto"/>
        </w:tcPr>
        <w:p w:rsidR="00763AEA" w:rsidRPr="00E25F48" w:rsidRDefault="00763AEA" w:rsidP="00D056B2">
          <w:pPr>
            <w:pStyle w:val="Piedepgina"/>
            <w:jc w:val="right"/>
          </w:pPr>
        </w:p>
      </w:tc>
    </w:tr>
  </w:tbl>
  <w:p w:rsidR="00763AEA" w:rsidRDefault="00763AEA" w:rsidP="003744C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EA" w:rsidRDefault="00763A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D0" w:rsidRDefault="00D964D0" w:rsidP="00C50F77">
      <w:r>
        <w:separator/>
      </w:r>
    </w:p>
  </w:footnote>
  <w:footnote w:type="continuationSeparator" w:id="0">
    <w:p w:rsidR="00D964D0" w:rsidRDefault="00D964D0" w:rsidP="00C50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EA" w:rsidRDefault="00763A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EA" w:rsidRPr="003744C0" w:rsidRDefault="00763AEA" w:rsidP="003744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EA" w:rsidRDefault="00763A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EBE"/>
    <w:multiLevelType w:val="multilevel"/>
    <w:tmpl w:val="8C7E30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F8C5AF3"/>
    <w:multiLevelType w:val="multilevel"/>
    <w:tmpl w:val="087CD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1A72B5"/>
    <w:multiLevelType w:val="hybridMultilevel"/>
    <w:tmpl w:val="112AC9F6"/>
    <w:lvl w:ilvl="0" w:tplc="22D0FDEC">
      <w:start w:val="1"/>
      <w:numFmt w:val="bullet"/>
      <w:pStyle w:val="Listaconvietas1"/>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49A5559"/>
    <w:multiLevelType w:val="multilevel"/>
    <w:tmpl w:val="F0545D4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75777">
      <o:colormru v:ext="edit" colors="white"/>
      <o:colormenu v:ext="edit" fillcolor="white"/>
    </o:shapedefaults>
  </w:hdrShapeDefaults>
  <w:footnotePr>
    <w:footnote w:id="-1"/>
    <w:footnote w:id="0"/>
  </w:footnotePr>
  <w:endnotePr>
    <w:endnote w:id="-1"/>
    <w:endnote w:id="0"/>
  </w:endnotePr>
  <w:compat>
    <w:compatSetting w:name="compatibilityMode" w:uri="http://schemas.microsoft.com/office/word" w:val="12"/>
  </w:compat>
  <w:rsids>
    <w:rsidRoot w:val="00C50F77"/>
    <w:rsid w:val="00000D7D"/>
    <w:rsid w:val="00015C67"/>
    <w:rsid w:val="0005737B"/>
    <w:rsid w:val="00073D44"/>
    <w:rsid w:val="000B00C6"/>
    <w:rsid w:val="00122E6B"/>
    <w:rsid w:val="00142C00"/>
    <w:rsid w:val="00146FA3"/>
    <w:rsid w:val="001834AF"/>
    <w:rsid w:val="00192ACF"/>
    <w:rsid w:val="001A559A"/>
    <w:rsid w:val="001D1C7C"/>
    <w:rsid w:val="0020198C"/>
    <w:rsid w:val="002208E6"/>
    <w:rsid w:val="00247DBF"/>
    <w:rsid w:val="0025480D"/>
    <w:rsid w:val="002A6155"/>
    <w:rsid w:val="002D532E"/>
    <w:rsid w:val="002E4885"/>
    <w:rsid w:val="0033062C"/>
    <w:rsid w:val="00332372"/>
    <w:rsid w:val="003722DD"/>
    <w:rsid w:val="003744C0"/>
    <w:rsid w:val="00386AB5"/>
    <w:rsid w:val="003B0CED"/>
    <w:rsid w:val="003B0DCC"/>
    <w:rsid w:val="003E3D74"/>
    <w:rsid w:val="00406903"/>
    <w:rsid w:val="0041455D"/>
    <w:rsid w:val="00463D23"/>
    <w:rsid w:val="00492F51"/>
    <w:rsid w:val="004A7906"/>
    <w:rsid w:val="004D60BF"/>
    <w:rsid w:val="00523A39"/>
    <w:rsid w:val="00532A0A"/>
    <w:rsid w:val="00563D6C"/>
    <w:rsid w:val="005B36EB"/>
    <w:rsid w:val="005B731C"/>
    <w:rsid w:val="005D19A9"/>
    <w:rsid w:val="00604877"/>
    <w:rsid w:val="00624EB1"/>
    <w:rsid w:val="00645615"/>
    <w:rsid w:val="0066770D"/>
    <w:rsid w:val="006748CD"/>
    <w:rsid w:val="0067622D"/>
    <w:rsid w:val="0069425F"/>
    <w:rsid w:val="006E5620"/>
    <w:rsid w:val="007112BE"/>
    <w:rsid w:val="00722AA1"/>
    <w:rsid w:val="00742266"/>
    <w:rsid w:val="00763AEA"/>
    <w:rsid w:val="00772F9D"/>
    <w:rsid w:val="007B36A7"/>
    <w:rsid w:val="007D494B"/>
    <w:rsid w:val="007D4964"/>
    <w:rsid w:val="008046AF"/>
    <w:rsid w:val="00813C20"/>
    <w:rsid w:val="00833EAA"/>
    <w:rsid w:val="008C1AEA"/>
    <w:rsid w:val="008C5D0F"/>
    <w:rsid w:val="008F33CF"/>
    <w:rsid w:val="00915C4D"/>
    <w:rsid w:val="009361A3"/>
    <w:rsid w:val="00937969"/>
    <w:rsid w:val="00983AE6"/>
    <w:rsid w:val="00993021"/>
    <w:rsid w:val="00995CEB"/>
    <w:rsid w:val="009B169B"/>
    <w:rsid w:val="009D6688"/>
    <w:rsid w:val="009E7531"/>
    <w:rsid w:val="00A04D91"/>
    <w:rsid w:val="00A22B32"/>
    <w:rsid w:val="00A36F1A"/>
    <w:rsid w:val="00A40113"/>
    <w:rsid w:val="00AA1396"/>
    <w:rsid w:val="00AE4B97"/>
    <w:rsid w:val="00B04728"/>
    <w:rsid w:val="00B4406B"/>
    <w:rsid w:val="00B56B90"/>
    <w:rsid w:val="00BB4231"/>
    <w:rsid w:val="00BD0181"/>
    <w:rsid w:val="00C07528"/>
    <w:rsid w:val="00C155BC"/>
    <w:rsid w:val="00C307E4"/>
    <w:rsid w:val="00C45244"/>
    <w:rsid w:val="00C47ED9"/>
    <w:rsid w:val="00C50F77"/>
    <w:rsid w:val="00C52AD8"/>
    <w:rsid w:val="00C65E3A"/>
    <w:rsid w:val="00CD24A5"/>
    <w:rsid w:val="00CE7F07"/>
    <w:rsid w:val="00CF12DD"/>
    <w:rsid w:val="00D056B2"/>
    <w:rsid w:val="00D61568"/>
    <w:rsid w:val="00D73722"/>
    <w:rsid w:val="00D9413D"/>
    <w:rsid w:val="00D964D0"/>
    <w:rsid w:val="00DA2CE7"/>
    <w:rsid w:val="00DC7A51"/>
    <w:rsid w:val="00E33220"/>
    <w:rsid w:val="00E33C01"/>
    <w:rsid w:val="00EA2442"/>
    <w:rsid w:val="00ED3E7B"/>
    <w:rsid w:val="00ED5833"/>
    <w:rsid w:val="00F05DF3"/>
    <w:rsid w:val="00F44303"/>
    <w:rsid w:val="00F80B84"/>
    <w:rsid w:val="00FF3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white"/>
      <o:colormenu v:ext="edit" fillcolor="white"/>
    </o:shapedefaults>
    <o:shapelayout v:ext="edit">
      <o:idmap v:ext="edit" data="1"/>
    </o:shapelayout>
  </w:shapeDefaults>
  <w:decimalSymbol w:val=","/>
  <w:listSeparator w:val=","/>
  <w15:docId w15:val="{B8E7CEF1-54D9-452F-9949-F72C21B2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styleId="NormalWeb">
    <w:name w:val="Normal (Web)"/>
    <w:basedOn w:val="Normal"/>
    <w:uiPriority w:val="99"/>
    <w:rsid w:val="003B0DCC"/>
    <w:pPr>
      <w:suppressAutoHyphens/>
      <w:spacing w:before="280" w:after="280"/>
      <w:jc w:val="left"/>
    </w:pPr>
    <w:rPr>
      <w:rFonts w:ascii="Times New Roman" w:hAnsi="Times New Roman"/>
      <w:szCs w:val="24"/>
      <w:lang w:val="es-CO" w:eastAsia="zh-CN"/>
    </w:rPr>
  </w:style>
  <w:style w:type="paragraph" w:styleId="Prrafodelista">
    <w:name w:val="List Paragraph"/>
    <w:basedOn w:val="Normal"/>
    <w:uiPriority w:val="34"/>
    <w:qFormat/>
    <w:rsid w:val="003B0DCC"/>
    <w:pPr>
      <w:spacing w:after="200" w:line="276" w:lineRule="auto"/>
      <w:ind w:left="720"/>
      <w:contextualSpacing/>
      <w:jc w:val="left"/>
    </w:pPr>
    <w:rPr>
      <w:rFonts w:ascii="Calibri" w:eastAsia="Calibri" w:hAnsi="Calibri"/>
      <w:sz w:val="22"/>
      <w:szCs w:val="22"/>
      <w:lang w:eastAsia="en-US"/>
    </w:rPr>
  </w:style>
  <w:style w:type="character" w:customStyle="1" w:styleId="AllcapsChar">
    <w:name w:val="All caps Char"/>
    <w:basedOn w:val="Fuentedeprrafopredeter"/>
    <w:link w:val="Todoenmayscula"/>
    <w:locked/>
    <w:rsid w:val="003B0DCC"/>
  </w:style>
  <w:style w:type="paragraph" w:customStyle="1" w:styleId="Todoenmayscula">
    <w:name w:val="Todo en mayúscula"/>
    <w:basedOn w:val="Normal"/>
    <w:link w:val="AllcapsChar"/>
    <w:rsid w:val="003B0DCC"/>
    <w:pPr>
      <w:spacing w:before="40" w:after="40"/>
      <w:jc w:val="left"/>
    </w:pPr>
    <w:rPr>
      <w:rFonts w:asciiTheme="minorHAnsi" w:eastAsiaTheme="minorHAnsi" w:hAnsiTheme="minorHAnsi" w:cstheme="minorBidi"/>
      <w:sz w:val="22"/>
      <w:szCs w:val="22"/>
      <w:lang w:val="es-CO" w:eastAsia="en-US"/>
    </w:rPr>
  </w:style>
  <w:style w:type="paragraph" w:customStyle="1" w:styleId="Listaconvietas1">
    <w:name w:val="Lista con viñetas1"/>
    <w:basedOn w:val="Normal"/>
    <w:rsid w:val="003B0DCC"/>
    <w:pPr>
      <w:numPr>
        <w:numId w:val="3"/>
      </w:numPr>
      <w:spacing w:before="120" w:after="240"/>
      <w:jc w:val="left"/>
    </w:pPr>
    <w:rPr>
      <w:rFonts w:ascii="Verdana" w:hAnsi="Verdana" w:cs="Verdana"/>
      <w:sz w:val="16"/>
      <w:szCs w:val="16"/>
      <w:lang w:bidi="es-ES"/>
    </w:rPr>
  </w:style>
  <w:style w:type="character" w:customStyle="1" w:styleId="Carctertodoenmayscula">
    <w:name w:val="Carácter todo en mayúscula"/>
    <w:basedOn w:val="Fuentedeprrafopredeter"/>
    <w:link w:val="Allcaps"/>
    <w:locked/>
    <w:rsid w:val="003B0DCC"/>
    <w:rPr>
      <w:rFonts w:ascii="Verdana" w:hAnsi="Verdana" w:cs="Verdana"/>
      <w:sz w:val="16"/>
      <w:szCs w:val="16"/>
      <w:lang w:val="es-ES_tradnl" w:bidi="es-ES"/>
    </w:rPr>
  </w:style>
  <w:style w:type="paragraph" w:customStyle="1" w:styleId="Allcaps">
    <w:name w:val="All caps"/>
    <w:basedOn w:val="Normal"/>
    <w:link w:val="Carctertodoenmayscula"/>
    <w:rsid w:val="003B0DCC"/>
    <w:pPr>
      <w:spacing w:before="40" w:after="40"/>
      <w:jc w:val="left"/>
    </w:pPr>
    <w:rPr>
      <w:rFonts w:ascii="Verdana" w:eastAsiaTheme="minorHAnsi" w:hAnsi="Verdana" w:cs="Verdana"/>
      <w:sz w:val="16"/>
      <w:szCs w:val="16"/>
      <w:lang w:val="es-ES_tradnl" w:eastAsia="en-US" w:bidi="es-ES"/>
    </w:rPr>
  </w:style>
  <w:style w:type="table" w:customStyle="1" w:styleId="Tablanormal1">
    <w:name w:val="Tabla normal1"/>
    <w:semiHidden/>
    <w:rsid w:val="003B0DCC"/>
    <w:pPr>
      <w:spacing w:after="0" w:line="240" w:lineRule="auto"/>
    </w:pPr>
    <w:rPr>
      <w:rFonts w:ascii="Times New Roman" w:eastAsia="Times New Roman" w:hAnsi="Times New Roman" w:cs="Times New Roman"/>
      <w:sz w:val="20"/>
      <w:szCs w:val="20"/>
      <w:lang w:eastAsia="es-CO"/>
    </w:rPr>
    <w:tblPr>
      <w:tblCellMar>
        <w:top w:w="0" w:type="dxa"/>
        <w:left w:w="108" w:type="dxa"/>
        <w:bottom w:w="0" w:type="dxa"/>
        <w:right w:w="108" w:type="dxa"/>
      </w:tblCellMar>
    </w:tblPr>
  </w:style>
  <w:style w:type="character" w:customStyle="1" w:styleId="baj">
    <w:name w:val="b_aj"/>
    <w:basedOn w:val="Fuentedeprrafopredeter"/>
    <w:rsid w:val="003B0DCC"/>
  </w:style>
  <w:style w:type="paragraph" w:customStyle="1" w:styleId="Default">
    <w:name w:val="Default"/>
    <w:rsid w:val="0025480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Diana Maria Mejia Toro</cp:lastModifiedBy>
  <cp:revision>6</cp:revision>
  <cp:lastPrinted>2019-07-19T16:41:00Z</cp:lastPrinted>
  <dcterms:created xsi:type="dcterms:W3CDTF">2024-11-06T19:51:00Z</dcterms:created>
  <dcterms:modified xsi:type="dcterms:W3CDTF">2025-09-23T18:38:00Z</dcterms:modified>
</cp:coreProperties>
</file>