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9457ED" w:rsidTr="00203A1B">
        <w:trPr>
          <w:trHeight w:hRule="exact" w:val="2528"/>
        </w:trPr>
        <w:tc>
          <w:tcPr>
            <w:tcW w:w="10314" w:type="dxa"/>
            <w:vAlign w:val="center"/>
          </w:tcPr>
          <w:p w:rsidR="006325BC" w:rsidRPr="00160B3C" w:rsidRDefault="00203A1B" w:rsidP="00203A1B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cs="Arial"/>
                <w:lang w:val="es-CO"/>
              </w:rPr>
              <w:t>G</w:t>
            </w:r>
            <w:r w:rsidRPr="00203A1B">
              <w:rPr>
                <w:rFonts w:cs="Arial"/>
                <w:lang w:val="es-CO"/>
              </w:rPr>
              <w:t xml:space="preserve">arantizar los principios de transparencia y publicidad mediante la publicación proactiva de la declaración </w:t>
            </w:r>
            <w:r>
              <w:rPr>
                <w:rFonts w:cs="Arial"/>
                <w:lang w:val="es-CO"/>
              </w:rPr>
              <w:t>de conflicto de interese</w:t>
            </w:r>
            <w:r w:rsidRPr="00203A1B">
              <w:rPr>
                <w:rFonts w:cs="Arial"/>
                <w:lang w:val="es-CO"/>
              </w:rPr>
              <w:t>, así como el registro de conflictos de interés.</w:t>
            </w:r>
            <w:r>
              <w:rPr>
                <w:rFonts w:cs="Arial"/>
                <w:lang w:val="es-CO"/>
              </w:rPr>
              <w:t xml:space="preserve"> </w:t>
            </w:r>
            <w:r w:rsidR="00AB2110" w:rsidRPr="00AB2110">
              <w:rPr>
                <w:rFonts w:cs="Arial"/>
                <w:lang w:val="es-CO"/>
              </w:rPr>
              <w:t xml:space="preserve">gestionar los impedimentos declarados por sus servidores y contratistas, las recusaciones informadas </w:t>
            </w:r>
            <w:r w:rsidR="00A8296C">
              <w:rPr>
                <w:rFonts w:cs="Arial"/>
                <w:lang w:val="es-CO"/>
              </w:rPr>
              <w:t>que</w:t>
            </w:r>
            <w:r w:rsidR="00A8296C" w:rsidRPr="00A8296C">
              <w:rPr>
                <w:rFonts w:cs="Arial"/>
                <w:lang w:val="es-CO"/>
              </w:rPr>
              <w:t xml:space="preserve"> se encuentra definido en el artículo 44 del Código General Disciplinario (Ley 1952 de 2019) y nos dice que </w:t>
            </w:r>
            <w:r w:rsidR="00A8296C">
              <w:rPr>
                <w:rFonts w:cs="Arial"/>
                <w:lang w:val="es-CO"/>
              </w:rPr>
              <w:t>este surge “</w:t>
            </w:r>
            <w:r w:rsidR="00A8296C" w:rsidRPr="00A8296C">
              <w:rPr>
                <w:rFonts w:cs="Arial"/>
                <w:lang w:val="es-CO"/>
              </w:rPr>
              <w:t>cuando el interés general propio de la función pública entra en conflicto con el interés particular y directo del servidor público”</w:t>
            </w:r>
            <w:r w:rsidR="00AB2110" w:rsidRPr="00AB2110">
              <w:rPr>
                <w:rFonts w:cs="Arial"/>
                <w:lang w:val="es-CO"/>
              </w:rPr>
              <w:t>, de acuerdo con el procedimiento interno definido.</w:t>
            </w:r>
          </w:p>
        </w:tc>
      </w:tr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9457ED" w:rsidTr="00A8296C">
        <w:trPr>
          <w:trHeight w:hRule="exact" w:val="1892"/>
        </w:trPr>
        <w:tc>
          <w:tcPr>
            <w:tcW w:w="10314" w:type="dxa"/>
            <w:vAlign w:val="center"/>
          </w:tcPr>
          <w:p w:rsidR="00A8296C" w:rsidRDefault="004D2995" w:rsidP="00A8296C">
            <w:pPr>
              <w:jc w:val="both"/>
              <w:rPr>
                <w:rFonts w:cs="Arial"/>
                <w:lang w:val="es-CO"/>
              </w:rPr>
            </w:pPr>
            <w:r w:rsidRPr="004D2995">
              <w:rPr>
                <w:rFonts w:cs="Arial"/>
                <w:lang w:val="es-CO"/>
              </w:rPr>
              <w:t>Inicia</w:t>
            </w:r>
            <w:r w:rsidR="00A8296C">
              <w:rPr>
                <w:rFonts w:cs="Arial"/>
                <w:lang w:val="es-CO"/>
              </w:rPr>
              <w:t xml:space="preserve"> con </w:t>
            </w:r>
            <w:r w:rsidR="00A8296C" w:rsidRPr="00A8296C">
              <w:rPr>
                <w:rFonts w:cs="Arial"/>
                <w:lang w:val="es-CO"/>
              </w:rPr>
              <w:t>Identificar sus servidores y contratistas obligados a cumplir con las disposiciones de la</w:t>
            </w:r>
            <w:r w:rsidR="00203A1B">
              <w:rPr>
                <w:rFonts w:cs="Arial"/>
                <w:lang w:val="es-CO"/>
              </w:rPr>
              <w:t xml:space="preserve"> </w:t>
            </w:r>
            <w:r w:rsidR="00203A1B" w:rsidRPr="00A8296C">
              <w:rPr>
                <w:rFonts w:cs="Arial"/>
                <w:lang w:val="es-CO"/>
              </w:rPr>
              <w:t>artículo 44 del Código General Disciplinario (Ley 1952 de 2019)</w:t>
            </w:r>
            <w:r w:rsidR="00203A1B">
              <w:rPr>
                <w:rFonts w:cs="Arial"/>
                <w:lang w:val="es-CO"/>
              </w:rPr>
              <w:t>;</w:t>
            </w:r>
            <w:r w:rsidR="00A8296C">
              <w:rPr>
                <w:rFonts w:cs="Arial"/>
                <w:lang w:val="es-CO"/>
              </w:rPr>
              <w:t xml:space="preserve"> que </w:t>
            </w:r>
            <w:r w:rsidR="00A8296C" w:rsidRPr="00A8296C">
              <w:rPr>
                <w:rFonts w:cs="Arial"/>
                <w:lang w:val="es-CO"/>
              </w:rPr>
              <w:t>Implican una confrontación entre el deber público y los intereses privados del servidor</w:t>
            </w:r>
            <w:r w:rsidR="00A8296C">
              <w:rPr>
                <w:rFonts w:cs="Arial"/>
                <w:lang w:val="es-CO"/>
              </w:rPr>
              <w:t>,</w:t>
            </w:r>
            <w:r w:rsidR="00A8296C">
              <w:t xml:space="preserve"> </w:t>
            </w:r>
            <w:r w:rsidR="00A8296C" w:rsidRPr="00A8296C">
              <w:rPr>
                <w:rFonts w:cs="Arial"/>
                <w:lang w:val="es-CO"/>
              </w:rPr>
              <w:t xml:space="preserve">pueden ser detectados y declarados voluntariamente antes de que existan y generen irregularidades o </w:t>
            </w:r>
            <w:r w:rsidR="00A8296C">
              <w:rPr>
                <w:rFonts w:cs="Arial"/>
                <w:lang w:val="es-CO"/>
              </w:rPr>
              <w:t>actos de</w:t>
            </w:r>
            <w:r w:rsidR="00A8296C" w:rsidRPr="00A8296C">
              <w:rPr>
                <w:rFonts w:cs="Arial"/>
                <w:lang w:val="es-CO"/>
              </w:rPr>
              <w:t xml:space="preserve"> corrupción</w:t>
            </w:r>
            <w:r w:rsidR="00A8296C">
              <w:rPr>
                <w:rFonts w:cs="Arial"/>
                <w:lang w:val="es-CO"/>
              </w:rPr>
              <w:t xml:space="preserve"> y finaliza con h</w:t>
            </w:r>
            <w:r w:rsidR="00A8296C" w:rsidRPr="00A8296C">
              <w:rPr>
                <w:rFonts w:cs="Arial"/>
                <w:lang w:val="es-CO"/>
              </w:rPr>
              <w:t>acer seguimiento y control al cumplimiento de la Ley 2013 de 2019</w:t>
            </w:r>
            <w:r w:rsidR="00203A1B">
              <w:rPr>
                <w:rFonts w:cs="Arial"/>
                <w:lang w:val="es-CO"/>
              </w:rPr>
              <w:t xml:space="preserve"> y  </w:t>
            </w:r>
            <w:r w:rsidR="00203A1B">
              <w:t>Decreto 830 de 2021, están obligados a cumplir con estas disposiciones</w:t>
            </w:r>
            <w:r w:rsidR="00203A1B">
              <w:rPr>
                <w:rFonts w:cs="Arial"/>
                <w:lang w:val="es-CO"/>
              </w:rPr>
              <w:t>.</w:t>
            </w:r>
          </w:p>
          <w:p w:rsidR="00CE70C6" w:rsidRPr="004D2995" w:rsidRDefault="00CE70C6" w:rsidP="007F3C0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160B3C" w:rsidTr="005E0332">
        <w:trPr>
          <w:trHeight w:hRule="exact" w:val="859"/>
        </w:trPr>
        <w:tc>
          <w:tcPr>
            <w:tcW w:w="10314" w:type="dxa"/>
            <w:vAlign w:val="center"/>
          </w:tcPr>
          <w:p w:rsidR="00CE70C6" w:rsidRPr="005E0332" w:rsidRDefault="00624B67" w:rsidP="005E0332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 xml:space="preserve">Jefe de </w:t>
            </w:r>
            <w:r w:rsidR="005E0332">
              <w:rPr>
                <w:rFonts w:cs="Arial"/>
                <w:lang w:val="es-CO"/>
              </w:rPr>
              <w:t xml:space="preserve">Oficina de </w:t>
            </w:r>
            <w:r w:rsidRPr="005E0332">
              <w:rPr>
                <w:rFonts w:cs="Arial"/>
                <w:lang w:val="es-CO"/>
              </w:rPr>
              <w:t>control Interno</w:t>
            </w:r>
          </w:p>
          <w:p w:rsidR="00203A1B" w:rsidRPr="005E0332" w:rsidRDefault="005E0332" w:rsidP="005E0332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Secretaria general</w:t>
            </w:r>
          </w:p>
          <w:p w:rsidR="00203A1B" w:rsidRDefault="00203A1B" w:rsidP="007F3C0B">
            <w:pPr>
              <w:jc w:val="both"/>
              <w:rPr>
                <w:rFonts w:cs="Arial"/>
                <w:lang w:val="es-CO"/>
              </w:rPr>
            </w:pPr>
          </w:p>
          <w:p w:rsidR="00203A1B" w:rsidRPr="00C35249" w:rsidRDefault="00203A1B" w:rsidP="007F3C0B">
            <w:pPr>
              <w:jc w:val="both"/>
              <w:rPr>
                <w:rFonts w:cs="Arial"/>
                <w:lang w:val="es-CO"/>
              </w:rPr>
            </w:pPr>
          </w:p>
        </w:tc>
      </w:tr>
      <w:tr w:rsidR="00CE70C6" w:rsidRPr="00160B3C" w:rsidTr="007F3C0B">
        <w:trPr>
          <w:trHeight w:val="391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</w:p>
        </w:tc>
      </w:tr>
      <w:tr w:rsidR="00CB15D2" w:rsidRPr="009457ED" w:rsidTr="007F3C0B">
        <w:trPr>
          <w:trHeight w:val="391"/>
        </w:trPr>
        <w:tc>
          <w:tcPr>
            <w:tcW w:w="10314" w:type="dxa"/>
            <w:shd w:val="clear" w:color="auto" w:fill="auto"/>
            <w:vAlign w:val="center"/>
          </w:tcPr>
          <w:p w:rsidR="00216406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Conceptos Fundamentales</w:t>
            </w:r>
            <w:r w:rsidR="005E0332">
              <w:rPr>
                <w:rFonts w:cs="Arial"/>
                <w:lang w:val="es-CO"/>
              </w:rPr>
              <w:t>:</w:t>
            </w:r>
          </w:p>
          <w:p w:rsidR="005E0332" w:rsidRPr="005E0332" w:rsidRDefault="005E0332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•</w:t>
            </w:r>
            <w:r w:rsidRPr="005E0332">
              <w:rPr>
                <w:rFonts w:cs="Arial"/>
                <w:lang w:val="es-CO"/>
              </w:rPr>
              <w:tab/>
              <w:t>Conflicto de Interés: Situación en la que el juicio de un individuo (servidor o contratista) y la integridad de una acción pueden estar influenciados por un interés secundario (económico, personal o familiar).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•</w:t>
            </w:r>
            <w:r w:rsidRPr="005E0332">
              <w:rPr>
                <w:rFonts w:cs="Arial"/>
                <w:lang w:val="es-CO"/>
              </w:rPr>
              <w:tab/>
              <w:t>Impedimento: Acto voluntario donde el servidor manifiesta que existen causales que le impiden conocer un asunto para salvaguardar la transparencia.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•</w:t>
            </w:r>
            <w:r w:rsidRPr="005E0332">
              <w:rPr>
                <w:rFonts w:cs="Arial"/>
                <w:lang w:val="es-CO"/>
              </w:rPr>
              <w:tab/>
              <w:t>Recusación: Acción que ejerce un tercero o ciudadano cuando considera que un servidor no es imparcial en un proceso y este no se ha declarado impedido.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•</w:t>
            </w:r>
            <w:r w:rsidRPr="005E0332">
              <w:rPr>
                <w:rFonts w:cs="Arial"/>
                <w:lang w:val="es-CO"/>
              </w:rPr>
              <w:tab/>
              <w:t>Inhabilidad: Circunstancia previa que impide a una persona acceder a un cargo o contrato público.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</w:p>
          <w:p w:rsidR="005E0332" w:rsidRDefault="005E0332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lastRenderedPageBreak/>
              <w:t xml:space="preserve">Tipos de Conflicto de Interés: 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1.</w:t>
            </w:r>
            <w:r w:rsidRPr="005E0332">
              <w:rPr>
                <w:rFonts w:cs="Arial"/>
                <w:lang w:val="es-CO"/>
              </w:rPr>
              <w:tab/>
              <w:t>Real: Cuando el servidor ya está enfrentando una decisión donde su interés privado influye directamente.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2.</w:t>
            </w:r>
            <w:r w:rsidRPr="005E0332">
              <w:rPr>
                <w:rFonts w:cs="Arial"/>
                <w:lang w:val="es-CO"/>
              </w:rPr>
              <w:tab/>
              <w:t>Potencial: Cuando el servidor tiene un interés privado que podría influir en el futuro en sus responsabilidades oficiales.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3.</w:t>
            </w:r>
            <w:r w:rsidRPr="005E0332">
              <w:rPr>
                <w:rFonts w:cs="Arial"/>
                <w:lang w:val="es-CO"/>
              </w:rPr>
              <w:tab/>
              <w:t>Aparente: Cuando no existe un conflicto real, pero la situación parece comprometedora ante la opinión pública, afectando la confianza institucional.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 xml:space="preserve">Principios y Normas Rectoras: </w:t>
            </w:r>
          </w:p>
          <w:p w:rsidR="00417210" w:rsidRPr="005E0332" w:rsidRDefault="00417210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La actuación administrativa en Colombia se rige por los siguientes principios que obligan a la declaración proactiva del conflicto: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 xml:space="preserve">Transparencia: </w:t>
            </w:r>
            <w:r w:rsidRPr="005E0332">
              <w:rPr>
                <w:rFonts w:cs="Arial"/>
                <w:lang w:val="es-CO"/>
              </w:rPr>
              <w:tab/>
              <w:t>Deber de hacer públicos los intereses privados para evitar zonas grises en la toma de decisiones.</w:t>
            </w:r>
          </w:p>
          <w:p w:rsidR="00417210" w:rsidRPr="005E0332" w:rsidRDefault="00417210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 xml:space="preserve">Imparcialidad: </w:t>
            </w:r>
            <w:r w:rsidRPr="005E0332">
              <w:rPr>
                <w:rFonts w:cs="Arial"/>
                <w:lang w:val="es-CO"/>
              </w:rPr>
              <w:tab/>
              <w:t>Asegurar que los criterios técnicos y legales prevalezcan sobre afectos o intereses personales.</w:t>
            </w:r>
          </w:p>
          <w:p w:rsidR="00417210" w:rsidRPr="005E0332" w:rsidRDefault="00417210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 xml:space="preserve">Moralidad Pública: </w:t>
            </w:r>
            <w:r w:rsidRPr="005E0332">
              <w:rPr>
                <w:rFonts w:cs="Arial"/>
                <w:lang w:val="es-CO"/>
              </w:rPr>
              <w:tab/>
              <w:t>Actuar conforme a la ética y el Código de Integridad adoptado por la Ley 2016 de 2020.</w:t>
            </w:r>
          </w:p>
          <w:p w:rsidR="00417210" w:rsidRPr="005E0332" w:rsidRDefault="00417210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 xml:space="preserve">Interés General: </w:t>
            </w:r>
            <w:r w:rsidRPr="005E0332">
              <w:rPr>
                <w:rFonts w:cs="Arial"/>
                <w:lang w:val="es-CO"/>
              </w:rPr>
              <w:tab/>
              <w:t>El beneficio de la comunidad siempre debe primar sobre el beneficio particular.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 xml:space="preserve">Cuándo procede la Declaración de Conflicto de interés: 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De acuerdo con el procedimiento interno y la ley, se debe declarar cuando: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1.</w:t>
            </w:r>
            <w:r w:rsidRPr="005E0332">
              <w:rPr>
                <w:rFonts w:cs="Arial"/>
                <w:lang w:val="es-CO"/>
              </w:rPr>
              <w:tab/>
              <w:t>Tenga un interés económico directo en el asunto (o su cónyuge, compañeros permanentes o parientes hasta el cuarto grado de consanguinidad).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2.</w:t>
            </w:r>
            <w:r w:rsidRPr="005E0332">
              <w:rPr>
                <w:rFonts w:cs="Arial"/>
                <w:lang w:val="es-CO"/>
              </w:rPr>
              <w:tab/>
              <w:t>Exista amistad íntima o enemistad manifiesta con alguna de las partes involucradas.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3.</w:t>
            </w:r>
            <w:r w:rsidRPr="005E0332">
              <w:rPr>
                <w:rFonts w:cs="Arial"/>
                <w:lang w:val="es-CO"/>
              </w:rPr>
              <w:tab/>
              <w:t>Haya sido apoderado, asesor o testigo en el mismo asunto previamente.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4.</w:t>
            </w:r>
            <w:r w:rsidRPr="005E0332">
              <w:rPr>
                <w:rFonts w:cs="Arial"/>
                <w:lang w:val="es-CO"/>
              </w:rPr>
              <w:tab/>
              <w:t>Represente a sociedades o personas que tengan interés en la decisión.</w:t>
            </w:r>
          </w:p>
          <w:p w:rsidR="00CB15D2" w:rsidRPr="005E0332" w:rsidRDefault="00CB15D2" w:rsidP="007F3C0B">
            <w:pPr>
              <w:jc w:val="both"/>
              <w:rPr>
                <w:rFonts w:cs="Arial"/>
                <w:b/>
                <w:lang w:val="es-CO"/>
              </w:rPr>
            </w:pPr>
          </w:p>
        </w:tc>
      </w:tr>
      <w:tr w:rsidR="009874F8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5E0332" w:rsidRDefault="00E94031" w:rsidP="007F3C0B">
            <w:pPr>
              <w:jc w:val="both"/>
              <w:rPr>
                <w:rFonts w:cs="Arial"/>
                <w:b/>
                <w:lang w:val="es-CO"/>
              </w:rPr>
            </w:pPr>
            <w:r w:rsidRPr="005E0332">
              <w:rPr>
                <w:rFonts w:cs="Arial"/>
                <w:b/>
                <w:lang w:val="es-CO"/>
              </w:rPr>
              <w:lastRenderedPageBreak/>
              <w:t xml:space="preserve">5. </w:t>
            </w:r>
            <w:r w:rsidR="009874F8" w:rsidRPr="005E0332">
              <w:rPr>
                <w:rFonts w:cs="Arial"/>
                <w:b/>
                <w:lang w:val="es-CO"/>
              </w:rPr>
              <w:t>DOCUMENTOS DE REFERENCIA</w:t>
            </w:r>
          </w:p>
          <w:p w:rsidR="009874F8" w:rsidRPr="005E0332" w:rsidRDefault="009874F8" w:rsidP="007F3C0B">
            <w:pPr>
              <w:jc w:val="both"/>
              <w:rPr>
                <w:rFonts w:cs="Arial"/>
                <w:b/>
              </w:rPr>
            </w:pPr>
          </w:p>
        </w:tc>
      </w:tr>
      <w:tr w:rsidR="009874F8" w:rsidRPr="009457ED" w:rsidTr="004603EC">
        <w:trPr>
          <w:trHeight w:hRule="exact" w:val="7040"/>
        </w:trPr>
        <w:tc>
          <w:tcPr>
            <w:tcW w:w="10314" w:type="dxa"/>
            <w:vAlign w:val="center"/>
          </w:tcPr>
          <w:p w:rsidR="00216406" w:rsidRPr="005E0332" w:rsidRDefault="00216406" w:rsidP="007F3C0B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Fundamentos Normativos (ABC del Conflicto de Interés)</w:t>
            </w:r>
          </w:p>
          <w:p w:rsidR="00216406" w:rsidRPr="005E0332" w:rsidRDefault="00216406" w:rsidP="007F3C0B">
            <w:pPr>
              <w:jc w:val="both"/>
              <w:rPr>
                <w:rFonts w:cs="Arial"/>
                <w:lang w:val="es-CO"/>
              </w:rPr>
            </w:pPr>
          </w:p>
          <w:p w:rsidR="00216406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 xml:space="preserve">El marco </w:t>
            </w:r>
            <w:r w:rsidR="005E0332">
              <w:rPr>
                <w:rFonts w:cs="Arial"/>
                <w:lang w:val="es-CO"/>
              </w:rPr>
              <w:t>legal C</w:t>
            </w:r>
            <w:r w:rsidRPr="005E0332">
              <w:rPr>
                <w:rFonts w:cs="Arial"/>
                <w:lang w:val="es-CO"/>
              </w:rPr>
              <w:t>olombiano ha evolucionado para fortalecer la transparencia y la integridad pública. Los pilares actuales son:</w:t>
            </w:r>
          </w:p>
          <w:p w:rsidR="005E0332" w:rsidRPr="005E0332" w:rsidRDefault="005E0332" w:rsidP="00216406">
            <w:pPr>
              <w:jc w:val="both"/>
              <w:rPr>
                <w:rFonts w:cs="Arial"/>
                <w:lang w:val="es-CO"/>
              </w:rPr>
            </w:pP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•</w:t>
            </w:r>
            <w:r w:rsidRPr="005E0332">
              <w:rPr>
                <w:rFonts w:cs="Arial"/>
                <w:lang w:val="es-CO"/>
              </w:rPr>
              <w:tab/>
              <w:t>Constitución Política de Colombia (Art. 182 y 209): Establece el deber de los servidores de actuar bajo principios de moralidad e imparcialidad.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•</w:t>
            </w:r>
            <w:r w:rsidRPr="005E0332">
              <w:rPr>
                <w:rFonts w:cs="Arial"/>
                <w:lang w:val="es-CO"/>
              </w:rPr>
              <w:tab/>
              <w:t>Ley 1952 de 2019 (Código General Disciplinario): Define el conflicto de interés en su Artículo 44 como la situación donde el interés general de la función pública confronta el interés particular y directo del servidor.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•</w:t>
            </w:r>
            <w:r w:rsidRPr="005E0332">
              <w:rPr>
                <w:rFonts w:cs="Arial"/>
                <w:lang w:val="es-CO"/>
              </w:rPr>
              <w:tab/>
              <w:t>Ley 1437 de 2011 (CPACA):</w:t>
            </w:r>
            <w:r w:rsidR="00B735A6">
              <w:rPr>
                <w:rFonts w:cs="Arial"/>
                <w:lang w:val="es-CO"/>
              </w:rPr>
              <w:t xml:space="preserve"> Regula en sus Artículos 11 Y 12</w:t>
            </w:r>
            <w:r w:rsidRPr="005E0332">
              <w:rPr>
                <w:rFonts w:cs="Arial"/>
                <w:lang w:val="es-CO"/>
              </w:rPr>
              <w:t xml:space="preserve"> el régimen de impedimentos y recusaciones para garantizar que los conflictos no afecten las decisiones administrativas.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•</w:t>
            </w:r>
            <w:r w:rsidRPr="005E0332">
              <w:rPr>
                <w:rFonts w:cs="Arial"/>
                <w:lang w:val="es-CO"/>
              </w:rPr>
              <w:tab/>
              <w:t>Ley 2013 de 2019: Obliga a la publicación de la declaración de bienes, rentas y el registro de conflictos de interés para altos cargos y contratistas.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•</w:t>
            </w:r>
            <w:r w:rsidRPr="005E0332">
              <w:rPr>
                <w:rFonts w:cs="Arial"/>
                <w:lang w:val="es-CO"/>
              </w:rPr>
              <w:tab/>
              <w:t>Ley 2016 de 2020: Adopta el Código de Integridad del Servicio Público Colombiano, integrando valores éticos en la gestión diaria.</w:t>
            </w:r>
          </w:p>
          <w:p w:rsidR="00216406" w:rsidRPr="005E0332" w:rsidRDefault="00216406" w:rsidP="00216406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•</w:t>
            </w:r>
            <w:r w:rsidRPr="005E0332">
              <w:rPr>
                <w:rFonts w:cs="Arial"/>
                <w:lang w:val="es-CO"/>
              </w:rPr>
              <w:tab/>
              <w:t>Decreto 830 de 2021: Define las normas para Personas Expuestas Políticamente (PEP) y su deber de transparencia.</w:t>
            </w:r>
          </w:p>
          <w:p w:rsidR="00216406" w:rsidRPr="005E0332" w:rsidRDefault="00216406" w:rsidP="007F3C0B">
            <w:pPr>
              <w:jc w:val="both"/>
              <w:rPr>
                <w:rFonts w:cs="Arial"/>
                <w:lang w:val="es-CO"/>
              </w:rPr>
            </w:pPr>
          </w:p>
          <w:p w:rsidR="004D2995" w:rsidRPr="005E0332" w:rsidRDefault="004D2995" w:rsidP="007F3C0B">
            <w:pPr>
              <w:jc w:val="both"/>
              <w:rPr>
                <w:rFonts w:cs="Arial"/>
                <w:lang w:val="es-CO"/>
              </w:rPr>
            </w:pPr>
            <w:r w:rsidRPr="005E0332">
              <w:rPr>
                <w:rFonts w:cs="Arial"/>
                <w:lang w:val="es-CO"/>
              </w:rPr>
              <w:t>Ley 87 de 1993, Decreto 1599 de 2005</w:t>
            </w:r>
            <w:r w:rsidR="008631D0" w:rsidRPr="005E0332">
              <w:rPr>
                <w:rFonts w:cs="Arial"/>
                <w:lang w:val="es-CO"/>
              </w:rPr>
              <w:t xml:space="preserve">, </w:t>
            </w:r>
            <w:r w:rsidR="004603EC" w:rsidRPr="004603EC">
              <w:rPr>
                <w:rFonts w:cs="Arial"/>
                <w:lang w:val="es-CO"/>
              </w:rPr>
              <w:t>Decreto 1083 de 2015 (Decreto Único Reglamentario del Sector de Función Pública), modificado por el Decreto 1499 de 2017</w:t>
            </w:r>
            <w:r w:rsidRPr="005E0332">
              <w:rPr>
                <w:rFonts w:cs="Arial"/>
                <w:lang w:val="es-CO"/>
              </w:rPr>
              <w:t>, Circulares del Consejo Asesor del Gobierno Nacional en materia de Control Interno para las entidades del orden Nacional y territorial., Aplicativo MECI</w:t>
            </w:r>
            <w:r w:rsidR="00A8296C" w:rsidRPr="005E0332">
              <w:rPr>
                <w:rFonts w:cs="Arial"/>
                <w:lang w:val="es-CO"/>
              </w:rPr>
              <w:t xml:space="preserve"> </w:t>
            </w:r>
            <w:r w:rsidRPr="005E0332">
              <w:rPr>
                <w:rFonts w:cs="Arial"/>
                <w:lang w:val="es-CO"/>
              </w:rPr>
              <w:t>CALIDAD DAFP, Instructivos DAFP para la aplicación MECI</w:t>
            </w:r>
            <w:r w:rsidR="007020C9" w:rsidRPr="005E0332">
              <w:rPr>
                <w:rFonts w:cs="Arial"/>
                <w:lang w:val="es-CO"/>
              </w:rPr>
              <w:t xml:space="preserve"> </w:t>
            </w:r>
            <w:r w:rsidRPr="005E0332">
              <w:rPr>
                <w:rFonts w:cs="Arial"/>
                <w:lang w:val="es-CO"/>
              </w:rPr>
              <w:t>CALIDAD</w:t>
            </w:r>
            <w:r w:rsidR="007020C9" w:rsidRPr="005E0332">
              <w:rPr>
                <w:rFonts w:cs="Arial"/>
                <w:lang w:val="es-CO"/>
              </w:rPr>
              <w:t>.</w:t>
            </w:r>
          </w:p>
          <w:p w:rsidR="004603EC" w:rsidRDefault="004603EC" w:rsidP="00C03D20">
            <w:pPr>
              <w:jc w:val="both"/>
              <w:rPr>
                <w:rFonts w:cs="Arial"/>
                <w:lang w:val="es-CO"/>
              </w:rPr>
            </w:pPr>
          </w:p>
          <w:p w:rsidR="004603EC" w:rsidRDefault="004603EC" w:rsidP="00C03D20">
            <w:pPr>
              <w:jc w:val="both"/>
              <w:rPr>
                <w:rFonts w:cs="Arial"/>
                <w:lang w:val="es-CO"/>
              </w:rPr>
            </w:pPr>
          </w:p>
          <w:p w:rsidR="004603EC" w:rsidRDefault="004603EC" w:rsidP="00C03D20">
            <w:pPr>
              <w:jc w:val="both"/>
              <w:rPr>
                <w:rFonts w:cs="Arial"/>
                <w:lang w:val="es-CO"/>
              </w:rPr>
            </w:pPr>
          </w:p>
          <w:p w:rsidR="004603EC" w:rsidRDefault="004603EC" w:rsidP="00C03D20">
            <w:pPr>
              <w:jc w:val="both"/>
              <w:rPr>
                <w:rFonts w:cs="Arial"/>
                <w:lang w:val="es-CO"/>
              </w:rPr>
            </w:pPr>
          </w:p>
          <w:p w:rsidR="004603EC" w:rsidRDefault="004603EC" w:rsidP="00C03D20">
            <w:pPr>
              <w:jc w:val="both"/>
              <w:rPr>
                <w:rFonts w:cs="Arial"/>
                <w:lang w:val="es-CO"/>
              </w:rPr>
            </w:pPr>
          </w:p>
          <w:p w:rsidR="004603EC" w:rsidRDefault="004603EC" w:rsidP="00C03D20">
            <w:pPr>
              <w:jc w:val="both"/>
              <w:rPr>
                <w:rFonts w:cs="Arial"/>
                <w:lang w:val="es-CO"/>
              </w:rPr>
            </w:pPr>
          </w:p>
          <w:p w:rsidR="004603EC" w:rsidRDefault="004603EC" w:rsidP="00C03D20">
            <w:pPr>
              <w:jc w:val="both"/>
              <w:rPr>
                <w:rFonts w:cs="Arial"/>
                <w:lang w:val="es-CO"/>
              </w:rPr>
            </w:pPr>
          </w:p>
          <w:p w:rsidR="004603EC" w:rsidRDefault="004603EC" w:rsidP="00C03D20">
            <w:pPr>
              <w:jc w:val="both"/>
              <w:rPr>
                <w:rFonts w:cs="Arial"/>
                <w:lang w:val="es-CO"/>
              </w:rPr>
            </w:pPr>
          </w:p>
          <w:p w:rsidR="004603EC" w:rsidRDefault="004603EC" w:rsidP="00C03D20">
            <w:pPr>
              <w:jc w:val="both"/>
              <w:rPr>
                <w:rFonts w:cs="Arial"/>
                <w:lang w:val="es-CO"/>
              </w:rPr>
            </w:pPr>
          </w:p>
          <w:p w:rsidR="004603EC" w:rsidRDefault="004603EC" w:rsidP="00C03D20">
            <w:pPr>
              <w:jc w:val="both"/>
              <w:rPr>
                <w:rFonts w:cs="Arial"/>
                <w:lang w:val="es-CO"/>
              </w:rPr>
            </w:pPr>
          </w:p>
          <w:p w:rsidR="004603EC" w:rsidRPr="005E0332" w:rsidRDefault="004603EC" w:rsidP="00C03D20">
            <w:pPr>
              <w:jc w:val="both"/>
              <w:rPr>
                <w:rFonts w:cs="Arial"/>
                <w:color w:val="000000"/>
                <w:lang w:val="es-CO"/>
              </w:rPr>
            </w:pPr>
          </w:p>
        </w:tc>
      </w:tr>
    </w:tbl>
    <w:p w:rsidR="007020C9" w:rsidRPr="009874F8" w:rsidRDefault="007020C9">
      <w:pPr>
        <w:rPr>
          <w:rFonts w:cs="Arial"/>
          <w:lang w:val="es-CO"/>
        </w:rPr>
      </w:pPr>
    </w:p>
    <w:p w:rsidR="004B4420" w:rsidRPr="00687B4E" w:rsidRDefault="00E94031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3191"/>
        <w:gridCol w:w="2977"/>
        <w:gridCol w:w="1559"/>
        <w:gridCol w:w="2171"/>
      </w:tblGrid>
      <w:tr w:rsidR="008A238E" w:rsidRPr="00C40BF8" w:rsidTr="005F3404">
        <w:trPr>
          <w:trHeight w:val="701"/>
          <w:tblHeader/>
        </w:trPr>
        <w:tc>
          <w:tcPr>
            <w:tcW w:w="461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#</w:t>
            </w:r>
          </w:p>
        </w:tc>
        <w:tc>
          <w:tcPr>
            <w:tcW w:w="3191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DESCRIPCIÓN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2171" w:type="dxa"/>
            <w:shd w:val="clear" w:color="auto" w:fill="BFBFBF"/>
            <w:vAlign w:val="center"/>
          </w:tcPr>
          <w:p w:rsidR="00E5786E" w:rsidRPr="00C40BF8" w:rsidRDefault="007020C9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 xml:space="preserve">INFORMACIÓN DOCUMENTADA </w:t>
            </w:r>
          </w:p>
        </w:tc>
      </w:tr>
      <w:tr w:rsidR="004D2995" w:rsidRPr="00C40BF8" w:rsidTr="005F3404">
        <w:trPr>
          <w:trHeight w:val="839"/>
        </w:trPr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1</w:t>
            </w:r>
          </w:p>
        </w:tc>
        <w:tc>
          <w:tcPr>
            <w:tcW w:w="3191" w:type="dxa"/>
            <w:vAlign w:val="center"/>
          </w:tcPr>
          <w:p w:rsidR="004D2995" w:rsidRPr="00C40BF8" w:rsidRDefault="008503F8" w:rsidP="008503F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I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ncorporar dentro del plan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operativo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anual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control interno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, la estrategia de política de integridad, que comprenda acciones del Código de Integridad y de Gestión de conflicto de interés y publicar en sitio Web sede electrónica de la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lastRenderedPageBreak/>
              <w:t>entidad, en el menú de transparencia y de acceso a la información pública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4D2995" w:rsidRPr="00C40BF8" w:rsidRDefault="004D2995" w:rsidP="008503F8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lastRenderedPageBreak/>
              <w:t xml:space="preserve">Anualmente el Jefe de la Oficina de Control Interno </w:t>
            </w:r>
            <w:r w:rsidR="008503F8" w:rsidRPr="00C40BF8">
              <w:rPr>
                <w:rFonts w:cs="Arial"/>
                <w:sz w:val="20"/>
                <w:szCs w:val="20"/>
                <w:lang w:val="es-CO"/>
              </w:rPr>
              <w:t>Diseñar la estrategia política de integridad</w:t>
            </w:r>
            <w:r w:rsidR="00204802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 w:rsidR="00204802" w:rsidRPr="00C40BF8">
              <w:rPr>
                <w:rFonts w:cs="Arial"/>
                <w:sz w:val="20"/>
                <w:szCs w:val="20"/>
                <w:lang w:val="es-CO"/>
              </w:rPr>
              <w:t>Plan Operativo de Control Interno</w:t>
            </w:r>
          </w:p>
        </w:tc>
        <w:tc>
          <w:tcPr>
            <w:tcW w:w="1559" w:type="dxa"/>
            <w:vAlign w:val="center"/>
          </w:tcPr>
          <w:p w:rsidR="004D2995" w:rsidRPr="00C40BF8" w:rsidRDefault="008503F8" w:rsidP="00204802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Oficina de </w:t>
            </w:r>
            <w:r w:rsidR="002C0AD5" w:rsidRPr="00C40BF8">
              <w:rPr>
                <w:rFonts w:cs="Arial"/>
                <w:sz w:val="20"/>
                <w:szCs w:val="20"/>
                <w:lang w:val="es-CO"/>
              </w:rPr>
              <w:t xml:space="preserve">Control Interno </w:t>
            </w:r>
          </w:p>
        </w:tc>
        <w:tc>
          <w:tcPr>
            <w:tcW w:w="2171" w:type="dxa"/>
            <w:vAlign w:val="center"/>
          </w:tcPr>
          <w:p w:rsidR="00C40BF8" w:rsidRPr="00C40BF8" w:rsidRDefault="00C40BF8" w:rsidP="00C40BF8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FEM-14</w:t>
            </w:r>
          </w:p>
          <w:p w:rsidR="004D2995" w:rsidRPr="00C40BF8" w:rsidRDefault="00C40BF8" w:rsidP="00C40BF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Plan Operativo de Control Interno</w:t>
            </w:r>
          </w:p>
        </w:tc>
      </w:tr>
      <w:tr w:rsidR="004D2995" w:rsidRPr="00C40BF8" w:rsidTr="005F3404"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lastRenderedPageBreak/>
              <w:t>2</w:t>
            </w:r>
          </w:p>
        </w:tc>
        <w:tc>
          <w:tcPr>
            <w:tcW w:w="3191" w:type="dxa"/>
            <w:vAlign w:val="center"/>
          </w:tcPr>
          <w:p w:rsidR="004D2995" w:rsidRPr="00C40BF8" w:rsidRDefault="002C0AD5" w:rsidP="008503F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Incorporar en la gestión de riesgos-mapas de riesgos de corrupción, la identificación del riesgo y controles frente a conflicto de interés</w:t>
            </w:r>
          </w:p>
        </w:tc>
        <w:tc>
          <w:tcPr>
            <w:tcW w:w="2977" w:type="dxa"/>
            <w:vAlign w:val="center"/>
          </w:tcPr>
          <w:p w:rsidR="004D2995" w:rsidRPr="00C40BF8" w:rsidRDefault="008503F8" w:rsidP="008503F8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Diseñar</w:t>
            </w:r>
            <w:r w:rsidR="00C7632A">
              <w:rPr>
                <w:rFonts w:cs="Arial"/>
                <w:sz w:val="20"/>
                <w:szCs w:val="20"/>
                <w:lang w:val="es-CO"/>
              </w:rPr>
              <w:t xml:space="preserve"> y/o Ajustar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la estrategia política de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gestión del riesgos </w:t>
            </w:r>
          </w:p>
        </w:tc>
        <w:tc>
          <w:tcPr>
            <w:tcW w:w="1559" w:type="dxa"/>
            <w:vAlign w:val="center"/>
          </w:tcPr>
          <w:p w:rsidR="00C7632A" w:rsidRDefault="008503F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Oficina de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Control Interno </w:t>
            </w:r>
          </w:p>
          <w:p w:rsidR="004D2995" w:rsidRPr="00C40BF8" w:rsidRDefault="008503F8" w:rsidP="00C7632A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Asesor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Planeación Gobierno </w:t>
            </w:r>
            <w:r w:rsidR="00C7632A">
              <w:rPr>
                <w:rFonts w:cs="Arial"/>
                <w:sz w:val="20"/>
                <w:szCs w:val="20"/>
                <w:lang w:val="es-CO"/>
              </w:rPr>
              <w:t xml:space="preserve">en </w:t>
            </w:r>
            <w:r w:rsidR="001D42BC">
              <w:rPr>
                <w:rFonts w:cs="Arial"/>
                <w:sz w:val="20"/>
                <w:szCs w:val="20"/>
                <w:lang w:val="es-CO"/>
              </w:rPr>
              <w:t>línea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y tecnologías de la información</w:t>
            </w:r>
          </w:p>
        </w:tc>
        <w:tc>
          <w:tcPr>
            <w:tcW w:w="2171" w:type="dxa"/>
            <w:vAlign w:val="center"/>
          </w:tcPr>
          <w:p w:rsidR="004D2995" w:rsidRPr="00C40BF8" w:rsidRDefault="002C0AD5" w:rsidP="00C40BF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FPI-04 </w:t>
            </w:r>
            <w:r w:rsidR="00C40BF8" w:rsidRPr="00C40BF8">
              <w:rPr>
                <w:rFonts w:cs="Arial"/>
                <w:sz w:val="20"/>
                <w:szCs w:val="20"/>
                <w:lang w:val="es-CO"/>
              </w:rPr>
              <w:t>Mapa De Riesgos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. </w:t>
            </w:r>
          </w:p>
        </w:tc>
      </w:tr>
      <w:tr w:rsidR="004D2995" w:rsidRPr="00C40BF8" w:rsidTr="005F3404">
        <w:trPr>
          <w:trHeight w:val="226"/>
        </w:trPr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3</w:t>
            </w:r>
          </w:p>
        </w:tc>
        <w:tc>
          <w:tcPr>
            <w:tcW w:w="3191" w:type="dxa"/>
            <w:vAlign w:val="center"/>
          </w:tcPr>
          <w:p w:rsidR="004D2995" w:rsidRPr="00C40BF8" w:rsidRDefault="00C40BF8" w:rsidP="008503F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Gestionar a través del Comité Institucional de Gestión y Desempeño el grupo de trabajo para la implementación de la política</w:t>
            </w:r>
            <w:r w:rsidR="0012588D">
              <w:rPr>
                <w:rFonts w:cs="Arial"/>
                <w:sz w:val="20"/>
                <w:szCs w:val="20"/>
                <w:lang w:val="es-CO"/>
              </w:rPr>
              <w:t xml:space="preserve"> de integridad pública (MIPG) </w:t>
            </w:r>
            <w:r>
              <w:rPr>
                <w:rFonts w:cs="Arial"/>
                <w:sz w:val="20"/>
                <w:szCs w:val="20"/>
                <w:lang w:val="es-CO"/>
              </w:rPr>
              <w:t>Código de integridad y la Gestión de conflicto de interés</w:t>
            </w:r>
            <w:r w:rsidR="008503F8">
              <w:rPr>
                <w:rFonts w:cs="Arial"/>
                <w:sz w:val="20"/>
                <w:szCs w:val="20"/>
                <w:lang w:val="es-CO"/>
              </w:rPr>
              <w:t>.</w:t>
            </w:r>
          </w:p>
        </w:tc>
        <w:tc>
          <w:tcPr>
            <w:tcW w:w="2977" w:type="dxa"/>
            <w:vAlign w:val="center"/>
          </w:tcPr>
          <w:p w:rsidR="004D2995" w:rsidRPr="00C40BF8" w:rsidRDefault="00C7632A" w:rsidP="00C7632A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El </w:t>
            </w:r>
            <w:r w:rsidR="0012588D">
              <w:rPr>
                <w:rFonts w:cs="Arial"/>
                <w:sz w:val="20"/>
                <w:szCs w:val="20"/>
                <w:lang w:val="es-CO"/>
              </w:rPr>
              <w:t>Comité de Gestión y Desempeño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designa a los </w:t>
            </w:r>
            <w:r w:rsidR="0012588D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CO"/>
              </w:rPr>
              <w:t>Servidores Públicos el grupo de trabajo para la implementación y seguimiento de la política de integridad pública</w:t>
            </w:r>
          </w:p>
        </w:tc>
        <w:tc>
          <w:tcPr>
            <w:tcW w:w="1559" w:type="dxa"/>
            <w:vAlign w:val="center"/>
          </w:tcPr>
          <w:p w:rsidR="0012588D" w:rsidRDefault="0012588D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Personero</w:t>
            </w:r>
          </w:p>
          <w:p w:rsidR="004D2995" w:rsidRDefault="00C40BF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Comité Institucional de Gestión y Desempeño</w:t>
            </w:r>
          </w:p>
          <w:p w:rsidR="00E43FF4" w:rsidRDefault="00E43FF4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Invitado</w:t>
            </w:r>
          </w:p>
          <w:p w:rsidR="00E43FF4" w:rsidRPr="00C40BF8" w:rsidRDefault="00E43FF4" w:rsidP="00A47D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Oficina de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Control Interno</w:t>
            </w:r>
          </w:p>
        </w:tc>
        <w:tc>
          <w:tcPr>
            <w:tcW w:w="2171" w:type="dxa"/>
            <w:vAlign w:val="center"/>
          </w:tcPr>
          <w:p w:rsidR="0012588D" w:rsidRPr="00C40BF8" w:rsidRDefault="00E43FF4" w:rsidP="00C40BF8">
            <w:pPr>
              <w:jc w:val="center"/>
              <w:rPr>
                <w:rFonts w:cs="Arial"/>
                <w:sz w:val="20"/>
                <w:szCs w:val="20"/>
                <w:highlight w:val="yellow"/>
                <w:lang w:val="es-CO"/>
              </w:rPr>
            </w:pPr>
            <w:r w:rsidRPr="00E43FF4">
              <w:rPr>
                <w:rFonts w:cs="Arial"/>
                <w:sz w:val="20"/>
                <w:szCs w:val="20"/>
                <w:lang w:val="es-CO"/>
              </w:rPr>
              <w:t xml:space="preserve">FG-18 Acta de Comité Institucional de Gestión y Desempeño </w:t>
            </w:r>
            <w:r w:rsidR="0012588D">
              <w:rPr>
                <w:rFonts w:cs="Arial"/>
                <w:sz w:val="20"/>
                <w:szCs w:val="20"/>
                <w:lang w:val="es-CO"/>
              </w:rPr>
              <w:t>Resolución de delegación</w:t>
            </w:r>
          </w:p>
        </w:tc>
      </w:tr>
      <w:tr w:rsidR="004D2995" w:rsidRPr="00C40BF8" w:rsidTr="005F3404">
        <w:trPr>
          <w:trHeight w:val="2744"/>
        </w:trPr>
        <w:tc>
          <w:tcPr>
            <w:tcW w:w="461" w:type="dxa"/>
            <w:vAlign w:val="center"/>
          </w:tcPr>
          <w:p w:rsidR="004D2995" w:rsidRPr="00C40BF8" w:rsidRDefault="009C12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4</w:t>
            </w:r>
          </w:p>
        </w:tc>
        <w:tc>
          <w:tcPr>
            <w:tcW w:w="3191" w:type="dxa"/>
            <w:vAlign w:val="center"/>
          </w:tcPr>
          <w:p w:rsidR="004D2995" w:rsidRPr="00C40BF8" w:rsidRDefault="00C40BF8" w:rsidP="005B5303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Hacer seguimiento a la implementación de la estrategia de gestión de conflicto de interés a través del Comité Institucional de gestión y Desempeño</w:t>
            </w:r>
          </w:p>
        </w:tc>
        <w:tc>
          <w:tcPr>
            <w:tcW w:w="2977" w:type="dxa"/>
            <w:vAlign w:val="center"/>
          </w:tcPr>
          <w:p w:rsidR="004D2995" w:rsidRPr="00C40BF8" w:rsidRDefault="008631D0" w:rsidP="00E43FF4">
            <w:pPr>
              <w:tabs>
                <w:tab w:val="left" w:pos="284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El Jefe de</w:t>
            </w:r>
            <w:r w:rsidR="00F04206">
              <w:rPr>
                <w:rFonts w:cs="Arial"/>
                <w:sz w:val="20"/>
                <w:szCs w:val="20"/>
                <w:lang w:val="es-CO"/>
              </w:rPr>
              <w:t xml:space="preserve"> Oficina de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Control Interno con l</w:t>
            </w:r>
            <w:r w:rsidR="004D2995" w:rsidRPr="00C40BF8">
              <w:rPr>
                <w:rFonts w:cs="Arial"/>
                <w:sz w:val="20"/>
                <w:szCs w:val="20"/>
                <w:lang w:val="es-CO"/>
              </w:rPr>
              <w:t xml:space="preserve">os funcionarios designados </w:t>
            </w:r>
            <w:r w:rsidR="001211D8">
              <w:rPr>
                <w:rFonts w:cs="Arial"/>
                <w:sz w:val="20"/>
                <w:szCs w:val="20"/>
                <w:lang w:val="es-CO"/>
              </w:rPr>
              <w:t>presenta</w:t>
            </w:r>
            <w:r w:rsidR="00E43FF4">
              <w:rPr>
                <w:rFonts w:cs="Arial"/>
                <w:sz w:val="20"/>
                <w:szCs w:val="20"/>
                <w:lang w:val="es-CO"/>
              </w:rPr>
              <w:t xml:space="preserve"> los informes</w:t>
            </w:r>
            <w:r w:rsidR="00F04206">
              <w:rPr>
                <w:rFonts w:cs="Arial"/>
                <w:sz w:val="20"/>
                <w:szCs w:val="20"/>
                <w:lang w:val="es-CO"/>
              </w:rPr>
              <w:t xml:space="preserve"> de seguimiento a la implementación de la estrategia de gestión de conflicto de interés</w:t>
            </w:r>
            <w:r w:rsidR="004D2995" w:rsidRPr="00C40BF8">
              <w:rPr>
                <w:rFonts w:cs="Arial"/>
                <w:sz w:val="20"/>
                <w:szCs w:val="20"/>
                <w:lang w:val="es-CO"/>
              </w:rPr>
              <w:t>.</w:t>
            </w:r>
            <w:r w:rsidR="00717FF3">
              <w:rPr>
                <w:rFonts w:cs="Arial"/>
                <w:sz w:val="20"/>
                <w:szCs w:val="20"/>
                <w:lang w:val="es-CO"/>
              </w:rPr>
              <w:t xml:space="preserve"> decisión de impedimentos, recusaciones, inhabilidades o incompatibilidades</w:t>
            </w:r>
          </w:p>
        </w:tc>
        <w:tc>
          <w:tcPr>
            <w:tcW w:w="1559" w:type="dxa"/>
            <w:vAlign w:val="center"/>
          </w:tcPr>
          <w:p w:rsidR="00717FF3" w:rsidRDefault="00F04206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El Jefe de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Oficina de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Control Interno </w:t>
            </w:r>
          </w:p>
          <w:p w:rsidR="004D2995" w:rsidRPr="00C40BF8" w:rsidRDefault="00C7632A" w:rsidP="00A47D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grupo de trabajo</w:t>
            </w:r>
          </w:p>
        </w:tc>
        <w:tc>
          <w:tcPr>
            <w:tcW w:w="2171" w:type="dxa"/>
            <w:vAlign w:val="center"/>
          </w:tcPr>
          <w:p w:rsidR="00E43FF4" w:rsidRPr="00C40BF8" w:rsidRDefault="00E43FF4" w:rsidP="00E43FF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FG 03 </w:t>
            </w:r>
          </w:p>
          <w:p w:rsidR="00E43FF4" w:rsidRPr="00C40BF8" w:rsidRDefault="00E43FF4" w:rsidP="00E43FF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7020C9" w:rsidRPr="00C40BF8" w:rsidRDefault="00E43FF4" w:rsidP="00717FF3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Informe Ejecutivo </w:t>
            </w:r>
            <w:r>
              <w:rPr>
                <w:rFonts w:cs="Arial"/>
                <w:sz w:val="20"/>
                <w:szCs w:val="20"/>
                <w:lang w:val="es-CO"/>
              </w:rPr>
              <w:t>declara</w:t>
            </w:r>
            <w:r w:rsidR="00717FF3">
              <w:rPr>
                <w:rFonts w:cs="Arial"/>
                <w:sz w:val="20"/>
                <w:szCs w:val="20"/>
                <w:lang w:val="es-CO"/>
              </w:rPr>
              <w:t>toria de conflictos de interés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4D2995" w:rsidRPr="00C40BF8" w:rsidTr="005F3404">
        <w:trPr>
          <w:trHeight w:val="2541"/>
        </w:trPr>
        <w:tc>
          <w:tcPr>
            <w:tcW w:w="461" w:type="dxa"/>
            <w:vAlign w:val="center"/>
          </w:tcPr>
          <w:p w:rsidR="004D2995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5</w:t>
            </w:r>
          </w:p>
        </w:tc>
        <w:tc>
          <w:tcPr>
            <w:tcW w:w="3191" w:type="dxa"/>
            <w:vAlign w:val="center"/>
          </w:tcPr>
          <w:p w:rsidR="004D2995" w:rsidRPr="00C40BF8" w:rsidRDefault="0068625C" w:rsidP="001211D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Definir la dependencia para orientar legal o técnicamente a los servidores, contratistas</w:t>
            </w:r>
            <w:r w:rsidR="001D42BC">
              <w:rPr>
                <w:rFonts w:cs="Arial"/>
                <w:sz w:val="20"/>
                <w:szCs w:val="20"/>
                <w:lang w:val="es-CO"/>
              </w:rPr>
              <w:t>,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supervisores, coordinadores o jefes inmediatos en la declaratoria de conflictos de interés o decisión de impedimentos, recusaciones, inhabilidades o incompatibilidades.</w:t>
            </w:r>
          </w:p>
        </w:tc>
        <w:tc>
          <w:tcPr>
            <w:tcW w:w="2977" w:type="dxa"/>
            <w:vAlign w:val="center"/>
          </w:tcPr>
          <w:p w:rsidR="004D2995" w:rsidRPr="00C40BF8" w:rsidRDefault="00AD1B68" w:rsidP="0068625C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Comité institucional de Gestión y Desempeño define la dependencia para orientar legal o técnicamente a los servidores, contratistas,, supervisores, coordinadores o jefes inmediatos en la declaratoria de conflictos de interés</w:t>
            </w:r>
          </w:p>
        </w:tc>
        <w:tc>
          <w:tcPr>
            <w:tcW w:w="1559" w:type="dxa"/>
            <w:vAlign w:val="center"/>
          </w:tcPr>
          <w:p w:rsidR="004D2995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Personero municipal</w:t>
            </w:r>
          </w:p>
          <w:p w:rsidR="00AD1B68" w:rsidRPr="00C40BF8" w:rsidRDefault="00AD1B6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Comité institucional de Gestión y Desempeño</w:t>
            </w:r>
          </w:p>
        </w:tc>
        <w:tc>
          <w:tcPr>
            <w:tcW w:w="2171" w:type="dxa"/>
            <w:vAlign w:val="center"/>
          </w:tcPr>
          <w:p w:rsidR="00535F31" w:rsidRPr="00C40BF8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FG 03 </w:t>
            </w:r>
          </w:p>
          <w:p w:rsidR="00535F31" w:rsidRPr="00C40BF8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535F31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</w:t>
            </w:r>
          </w:p>
          <w:p w:rsidR="004D2995" w:rsidRPr="00C40BF8" w:rsidRDefault="001211D8" w:rsidP="005B5303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Resolución de delegación</w:t>
            </w:r>
            <w:r w:rsidR="00A47DF6"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4D2995" w:rsidRPr="00C40BF8" w:rsidTr="005F3404">
        <w:tc>
          <w:tcPr>
            <w:tcW w:w="461" w:type="dxa"/>
            <w:vAlign w:val="center"/>
          </w:tcPr>
          <w:p w:rsidR="004D2995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lastRenderedPageBreak/>
              <w:t>6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3129F5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Mantener actualizada su información institucional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 en la declaratoria de conflictos de interés, decisión de impedimentos, recusaciones, inhabilidades o incompatibilidades</w:t>
            </w:r>
          </w:p>
        </w:tc>
        <w:tc>
          <w:tcPr>
            <w:tcW w:w="2977" w:type="dxa"/>
            <w:vAlign w:val="center"/>
          </w:tcPr>
          <w:p w:rsidR="004D2995" w:rsidRPr="00C40BF8" w:rsidRDefault="00AD1B68" w:rsidP="003129F5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La dependencia para orientar legal o técnicamente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 grupo de trabajo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corresponde Mantener actualizada su información institucional, en la declaratoria de conflictos de interés, de los servidores, contratistas,, supervisores, coordinadores o jefes inmediatos de conformidad con el proceso o procedimiento establecido y el formato aprobado por SGC </w:t>
            </w:r>
          </w:p>
        </w:tc>
        <w:tc>
          <w:tcPr>
            <w:tcW w:w="1559" w:type="dxa"/>
            <w:vAlign w:val="center"/>
          </w:tcPr>
          <w:p w:rsidR="004D2995" w:rsidRDefault="001211D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uncionarios designados</w:t>
            </w:r>
          </w:p>
          <w:p w:rsidR="003129F5" w:rsidRPr="00C40BF8" w:rsidRDefault="003129F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Grupo de trabajo</w:t>
            </w:r>
          </w:p>
        </w:tc>
        <w:tc>
          <w:tcPr>
            <w:tcW w:w="2171" w:type="dxa"/>
            <w:vAlign w:val="center"/>
          </w:tcPr>
          <w:p w:rsidR="008F06E9" w:rsidRDefault="008F06E9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Formato xxxxxx</w:t>
            </w:r>
          </w:p>
          <w:p w:rsidR="008F06E9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establecido SGC </w:t>
            </w:r>
            <w:r w:rsidRPr="00535F31">
              <w:rPr>
                <w:rFonts w:cs="Arial"/>
                <w:sz w:val="20"/>
                <w:szCs w:val="20"/>
                <w:lang w:val="es-CO"/>
              </w:rPr>
              <w:t xml:space="preserve">procedimiento interno para el manejo y declaración del conflicto de interés </w:t>
            </w:r>
          </w:p>
          <w:p w:rsidR="00535F31" w:rsidRPr="00C40BF8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535F31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</w:t>
            </w:r>
          </w:p>
          <w:p w:rsidR="006C3E7E" w:rsidRPr="00C40BF8" w:rsidRDefault="008F06E9" w:rsidP="00535F31">
            <w:pPr>
              <w:rPr>
                <w:rFonts w:cs="Arial"/>
                <w:sz w:val="20"/>
                <w:szCs w:val="20"/>
                <w:lang w:val="es-CO"/>
              </w:rPr>
            </w:pPr>
            <w:r w:rsidRPr="008F06E9">
              <w:rPr>
                <w:rFonts w:cs="Arial"/>
                <w:sz w:val="20"/>
                <w:szCs w:val="20"/>
                <w:lang w:val="es-CO"/>
              </w:rPr>
              <w:t>FEM-15 Informe</w:t>
            </w:r>
          </w:p>
        </w:tc>
      </w:tr>
      <w:tr w:rsidR="00D25AC8" w:rsidRPr="00C40BF8" w:rsidTr="005F3404">
        <w:trPr>
          <w:trHeight w:val="1689"/>
        </w:trPr>
        <w:tc>
          <w:tcPr>
            <w:tcW w:w="461" w:type="dxa"/>
            <w:vAlign w:val="center"/>
          </w:tcPr>
          <w:p w:rsidR="00D25AC8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7</w:t>
            </w:r>
          </w:p>
        </w:tc>
        <w:tc>
          <w:tcPr>
            <w:tcW w:w="3191" w:type="dxa"/>
            <w:vAlign w:val="center"/>
          </w:tcPr>
          <w:p w:rsidR="00D25AC8" w:rsidRPr="00C40BF8" w:rsidRDefault="00535F31" w:rsidP="00F32B0B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Identificar las áreas con riesgo de posibles conflictos de interés en los procesos o dependencias</w:t>
            </w:r>
          </w:p>
        </w:tc>
        <w:tc>
          <w:tcPr>
            <w:tcW w:w="2977" w:type="dxa"/>
            <w:vAlign w:val="center"/>
          </w:tcPr>
          <w:p w:rsidR="003129F5" w:rsidRDefault="003129F5" w:rsidP="003129F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Los F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uncionarios designados</w:t>
            </w:r>
          </w:p>
          <w:p w:rsidR="00D25AC8" w:rsidRPr="00C40BF8" w:rsidRDefault="003129F5" w:rsidP="001B6A67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Grupo de trabajo, le corresponde </w:t>
            </w:r>
            <w:r w:rsidR="001B6A67">
              <w:rPr>
                <w:rFonts w:cs="Arial"/>
                <w:sz w:val="20"/>
                <w:szCs w:val="20"/>
                <w:lang w:val="es-CO"/>
              </w:rPr>
              <w:t xml:space="preserve">analizar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las áreas con riesgo </w:t>
            </w:r>
            <w:r w:rsidR="001B6A67">
              <w:rPr>
                <w:rFonts w:cs="Arial"/>
                <w:sz w:val="20"/>
                <w:szCs w:val="20"/>
                <w:lang w:val="es-CO"/>
              </w:rPr>
              <w:t xml:space="preserve"> si de acuerdo con el cargo, las funciones que desempeño algunos de sus intereses privados los involucran en una situación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posibles conflictos de interés </w:t>
            </w:r>
          </w:p>
        </w:tc>
        <w:tc>
          <w:tcPr>
            <w:tcW w:w="1559" w:type="dxa"/>
            <w:vAlign w:val="center"/>
          </w:tcPr>
          <w:p w:rsidR="00D25AC8" w:rsidRDefault="008F06E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El Jefe de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Oficina de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Control Interno </w:t>
            </w:r>
            <w:r>
              <w:rPr>
                <w:rFonts w:cs="Arial"/>
                <w:sz w:val="20"/>
                <w:szCs w:val="20"/>
                <w:lang w:val="es-CO"/>
              </w:rPr>
              <w:t>F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uncionarios designados</w:t>
            </w:r>
          </w:p>
          <w:p w:rsidR="003129F5" w:rsidRPr="00C40BF8" w:rsidRDefault="003129F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Grupo de trabajo</w:t>
            </w:r>
          </w:p>
        </w:tc>
        <w:tc>
          <w:tcPr>
            <w:tcW w:w="2171" w:type="dxa"/>
            <w:vAlign w:val="center"/>
          </w:tcPr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Formato xxxxxx</w:t>
            </w:r>
          </w:p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establecido SGC </w:t>
            </w:r>
            <w:r w:rsidRPr="00535F31">
              <w:rPr>
                <w:rFonts w:cs="Arial"/>
                <w:sz w:val="20"/>
                <w:szCs w:val="20"/>
                <w:lang w:val="es-CO"/>
              </w:rPr>
              <w:t xml:space="preserve">procedimiento interno para el manejo y declaración del conflicto de interés </w:t>
            </w:r>
          </w:p>
          <w:p w:rsidR="008F06E9" w:rsidRPr="00C40BF8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</w:t>
            </w:r>
          </w:p>
          <w:p w:rsidR="00D25AC8" w:rsidRPr="00C40BF8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F06E9">
              <w:rPr>
                <w:rFonts w:cs="Arial"/>
                <w:sz w:val="20"/>
                <w:szCs w:val="20"/>
                <w:lang w:val="es-CO"/>
              </w:rPr>
              <w:t>FEM-15 Informe</w:t>
            </w:r>
          </w:p>
        </w:tc>
      </w:tr>
      <w:tr w:rsidR="004D2995" w:rsidRPr="00C40BF8" w:rsidTr="005F3404">
        <w:trPr>
          <w:trHeight w:val="1483"/>
        </w:trPr>
        <w:tc>
          <w:tcPr>
            <w:tcW w:w="461" w:type="dxa"/>
            <w:vAlign w:val="center"/>
          </w:tcPr>
          <w:p w:rsidR="004D2995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8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Organizar e implementar un canal de comunicación interna ( correo, buzón, internet,) para recibir los impedimentos y recusaciones</w:t>
            </w:r>
          </w:p>
        </w:tc>
        <w:tc>
          <w:tcPr>
            <w:tcW w:w="2977" w:type="dxa"/>
            <w:vAlign w:val="center"/>
          </w:tcPr>
          <w:p w:rsidR="004D2995" w:rsidRPr="00C40BF8" w:rsidRDefault="00535F31" w:rsidP="00A47DF6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1559" w:type="dxa"/>
            <w:vAlign w:val="center"/>
          </w:tcPr>
          <w:p w:rsidR="004D2995" w:rsidRPr="00C40BF8" w:rsidRDefault="008F06E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 equipo Asesor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 de las comunicaciones</w:t>
            </w:r>
          </w:p>
        </w:tc>
        <w:tc>
          <w:tcPr>
            <w:tcW w:w="2171" w:type="dxa"/>
            <w:vAlign w:val="center"/>
          </w:tcPr>
          <w:p w:rsidR="00A42C77" w:rsidRPr="00C40BF8" w:rsidRDefault="00DF05A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FG 03</w:t>
            </w:r>
            <w:r w:rsidR="004D2995"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Acta</w:t>
            </w:r>
          </w:p>
        </w:tc>
      </w:tr>
      <w:tr w:rsidR="00DF7BDB" w:rsidRPr="00C40BF8" w:rsidTr="005F3404">
        <w:trPr>
          <w:trHeight w:val="1250"/>
        </w:trPr>
        <w:tc>
          <w:tcPr>
            <w:tcW w:w="461" w:type="dxa"/>
            <w:vAlign w:val="center"/>
          </w:tcPr>
          <w:p w:rsidR="00DF7BDB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9</w:t>
            </w:r>
          </w:p>
        </w:tc>
        <w:tc>
          <w:tcPr>
            <w:tcW w:w="3191" w:type="dxa"/>
            <w:vAlign w:val="center"/>
          </w:tcPr>
          <w:p w:rsidR="00DF7BDB" w:rsidRPr="00C40BF8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Ajustar el manual de contratación de le entidad con orientaciones para que los contratistas realicen su declaración de conflicto de interés</w:t>
            </w:r>
          </w:p>
        </w:tc>
        <w:tc>
          <w:tcPr>
            <w:tcW w:w="2977" w:type="dxa"/>
            <w:vAlign w:val="center"/>
          </w:tcPr>
          <w:p w:rsidR="00535F31" w:rsidRDefault="00535F31" w:rsidP="00A42C77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  <w:p w:rsidR="00DF7BDB" w:rsidRPr="00C40BF8" w:rsidRDefault="00DF7BDB" w:rsidP="00A42C77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DF7BDB" w:rsidRPr="00C40BF8" w:rsidRDefault="008F06E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 equipo Asesor Bienes y servicios</w:t>
            </w:r>
          </w:p>
        </w:tc>
        <w:tc>
          <w:tcPr>
            <w:tcW w:w="2171" w:type="dxa"/>
            <w:vAlign w:val="center"/>
          </w:tcPr>
          <w:p w:rsidR="00DF7BDB" w:rsidRPr="00C40BF8" w:rsidRDefault="00261874" w:rsidP="00A42C77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Manual de Contratación ajustado</w:t>
            </w:r>
          </w:p>
        </w:tc>
      </w:tr>
      <w:tr w:rsidR="004D2995" w:rsidRPr="00C40BF8" w:rsidTr="005F3404"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1</w:t>
            </w:r>
            <w:r w:rsidR="009C1231" w:rsidRPr="00C40BF8">
              <w:rPr>
                <w:rFonts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Registro de conflicto de interés</w:t>
            </w:r>
            <w:r w:rsidR="00261874">
              <w:rPr>
                <w:rFonts w:cs="Arial"/>
                <w:sz w:val="20"/>
                <w:szCs w:val="20"/>
                <w:lang w:val="es-CO"/>
              </w:rPr>
              <w:t xml:space="preserve"> potencial</w:t>
            </w:r>
          </w:p>
        </w:tc>
        <w:tc>
          <w:tcPr>
            <w:tcW w:w="2977" w:type="dxa"/>
            <w:vAlign w:val="center"/>
          </w:tcPr>
          <w:p w:rsidR="00535F31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  <w:p w:rsidR="004D2995" w:rsidRPr="00C40BF8" w:rsidRDefault="004D2995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</w:p>
          <w:p w:rsidR="00261874" w:rsidRPr="00C40BF8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  <w:p w:rsidR="004D2995" w:rsidRPr="00C40BF8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Jefe de Control Interno</w:t>
            </w:r>
          </w:p>
        </w:tc>
        <w:tc>
          <w:tcPr>
            <w:tcW w:w="217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  <w:p w:rsidR="00A42C77" w:rsidRPr="00C40BF8" w:rsidRDefault="00A42C7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  <w:p w:rsidR="00A42C77" w:rsidRPr="00C40BF8" w:rsidRDefault="00A42C7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FPI-04</w:t>
            </w:r>
          </w:p>
          <w:p w:rsidR="00A42C77" w:rsidRPr="00C40BF8" w:rsidRDefault="00A42C7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Mapa de Riesgos </w:t>
            </w:r>
          </w:p>
        </w:tc>
      </w:tr>
      <w:tr w:rsidR="004D2995" w:rsidRPr="00C40BF8" w:rsidTr="005F3404">
        <w:trPr>
          <w:trHeight w:val="2352"/>
        </w:trPr>
        <w:tc>
          <w:tcPr>
            <w:tcW w:w="461" w:type="dxa"/>
            <w:vAlign w:val="center"/>
          </w:tcPr>
          <w:p w:rsidR="004D2995" w:rsidRPr="00C40BF8" w:rsidRDefault="009C12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lastRenderedPageBreak/>
              <w:t>11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1B6A67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Establecer el procedimiento interno para el manejo y declaración de conflicto de interés real, se realice </w:t>
            </w:r>
            <w:r w:rsidRPr="005F3404">
              <w:rPr>
                <w:rFonts w:cs="Arial"/>
                <w:sz w:val="20"/>
                <w:szCs w:val="20"/>
                <w:lang w:val="es-CO"/>
              </w:rPr>
              <w:t>de conformidad con el artículo 12 de la Ley 1437 de</w:t>
            </w:r>
            <w:r w:rsidR="001B6A67" w:rsidRPr="005F3404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 w:rsidRPr="005F3404">
              <w:rPr>
                <w:rFonts w:cs="Arial"/>
                <w:sz w:val="20"/>
                <w:szCs w:val="20"/>
                <w:lang w:val="es-CO"/>
              </w:rPr>
              <w:t>2011 del CPCA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“</w:t>
            </w:r>
            <w:r w:rsidR="001B6A67">
              <w:rPr>
                <w:rFonts w:cs="Arial"/>
                <w:sz w:val="20"/>
                <w:szCs w:val="20"/>
                <w:lang w:val="es-CO"/>
              </w:rPr>
              <w:t>Código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de Procedimiento Administrativo y de lo Contencioso Administrativo”</w:t>
            </w:r>
          </w:p>
        </w:tc>
        <w:tc>
          <w:tcPr>
            <w:tcW w:w="2977" w:type="dxa"/>
            <w:vAlign w:val="center"/>
          </w:tcPr>
          <w:p w:rsidR="004D2995" w:rsidRPr="00C40BF8" w:rsidRDefault="009D6A29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5F3404">
              <w:rPr>
                <w:rFonts w:cs="Arial"/>
                <w:sz w:val="20"/>
                <w:szCs w:val="20"/>
                <w:lang w:val="es-CO"/>
              </w:rPr>
              <w:t>Trámite de los impedimentos y recusaciones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el artículo 12 de la Ley 1437 de 2011 del CPCA</w:t>
            </w:r>
            <w:r w:rsidRPr="009D6A29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 w:rsidR="001B6A67">
              <w:rPr>
                <w:rFonts w:cs="Arial"/>
                <w:sz w:val="20"/>
                <w:szCs w:val="20"/>
                <w:lang w:val="es-CO"/>
              </w:rPr>
              <w:t xml:space="preserve">Los conflictos de interés no infieran en nuestras funciones como servidores públicos, para que no constituyan actos de corrupción, en nuestros </w:t>
            </w:r>
            <w:r w:rsidR="00535F31"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1559" w:type="dxa"/>
            <w:vAlign w:val="center"/>
          </w:tcPr>
          <w:p w:rsidR="00DF7BDB" w:rsidRDefault="001B6A6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 equipo asesor</w:t>
            </w:r>
          </w:p>
          <w:p w:rsidR="001B6A67" w:rsidRPr="00C40BF8" w:rsidRDefault="001B6A6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1B6A67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</w:tc>
        <w:tc>
          <w:tcPr>
            <w:tcW w:w="2171" w:type="dxa"/>
            <w:vAlign w:val="center"/>
          </w:tcPr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Formato xxxxxx</w:t>
            </w:r>
          </w:p>
          <w:p w:rsidR="00FB45E2" w:rsidRPr="00C40BF8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establecido SGC </w:t>
            </w:r>
            <w:r w:rsidRPr="00535F31">
              <w:rPr>
                <w:rFonts w:cs="Arial"/>
                <w:sz w:val="20"/>
                <w:szCs w:val="20"/>
                <w:lang w:val="es-CO"/>
              </w:rPr>
              <w:t xml:space="preserve">procedimiento interno para el manejo y declaración del conflicto de </w:t>
            </w:r>
          </w:p>
        </w:tc>
      </w:tr>
      <w:tr w:rsidR="00535F31" w:rsidRPr="00C40BF8" w:rsidTr="005F3404">
        <w:trPr>
          <w:trHeight w:val="838"/>
        </w:trPr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12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Promover el uso por parte de la entidad</w:t>
            </w:r>
            <w:r w:rsidR="00ED45FA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canales de denuncia frente a situaciones de conflicto de </w:t>
            </w:r>
            <w:r w:rsidR="00ED45FA">
              <w:rPr>
                <w:rFonts w:cs="Arial"/>
                <w:sz w:val="20"/>
                <w:szCs w:val="20"/>
                <w:lang w:val="es-CO"/>
              </w:rPr>
              <w:t>interés</w:t>
            </w:r>
          </w:p>
        </w:tc>
        <w:tc>
          <w:tcPr>
            <w:tcW w:w="2977" w:type="dxa"/>
            <w:vAlign w:val="center"/>
          </w:tcPr>
          <w:p w:rsidR="00535F31" w:rsidRPr="00C40BF8" w:rsidRDefault="001B6A67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La mejor manera de solucionar los conflictos de interés es comunicándolos, ser siempre transparentes en el actuar </w:t>
            </w:r>
            <w:r w:rsidR="00535F31"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1559" w:type="dxa"/>
            <w:vAlign w:val="center"/>
          </w:tcPr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General-</w:t>
            </w:r>
          </w:p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1B6A67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  <w:p w:rsidR="009D6A29" w:rsidRPr="001B6A67" w:rsidRDefault="009D6A29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Asesor de comunicaciones y tecnologías de la información</w:t>
            </w:r>
          </w:p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217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535F31" w:rsidRPr="00C40BF8" w:rsidTr="005F3404">
        <w:trPr>
          <w:trHeight w:val="2334"/>
        </w:trPr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13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Incluir de forma obligatoria, el </w:t>
            </w:r>
            <w:r w:rsidR="00ED45FA">
              <w:rPr>
                <w:rFonts w:cs="Arial"/>
                <w:sz w:val="20"/>
                <w:szCs w:val="20"/>
                <w:lang w:val="es-CO"/>
              </w:rPr>
              <w:t>Código de integridad de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l Servició público, en los manuales de funciones y demás métodos, </w:t>
            </w:r>
            <w:r w:rsidRPr="005F3404">
              <w:rPr>
                <w:rFonts w:cs="Arial"/>
                <w:sz w:val="20"/>
                <w:szCs w:val="20"/>
                <w:lang w:val="es-CO"/>
              </w:rPr>
              <w:t>plane</w:t>
            </w:r>
            <w:r w:rsidR="00ED45FA" w:rsidRPr="005F3404">
              <w:rPr>
                <w:rFonts w:cs="Arial"/>
                <w:sz w:val="20"/>
                <w:szCs w:val="20"/>
                <w:lang w:val="es-CO"/>
              </w:rPr>
              <w:t>s</w:t>
            </w:r>
            <w:r w:rsidRPr="005F3404">
              <w:rPr>
                <w:rFonts w:cs="Arial"/>
                <w:sz w:val="20"/>
                <w:szCs w:val="20"/>
                <w:lang w:val="es-CO"/>
              </w:rPr>
              <w:t xml:space="preserve"> y procedimientos que fortalezcan y promuevan la integridad en el servicio público de conformidad en lo señalado en la Ley 2016 de 2020</w:t>
            </w:r>
          </w:p>
        </w:tc>
        <w:tc>
          <w:tcPr>
            <w:tcW w:w="2977" w:type="dxa"/>
            <w:vAlign w:val="center"/>
          </w:tcPr>
          <w:p w:rsidR="00535F31" w:rsidRPr="00C40BF8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1559" w:type="dxa"/>
            <w:vAlign w:val="center"/>
          </w:tcPr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General-</w:t>
            </w:r>
          </w:p>
          <w:p w:rsidR="00261874" w:rsidRPr="009D6A29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9D6A29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2171" w:type="dxa"/>
            <w:vAlign w:val="center"/>
          </w:tcPr>
          <w:p w:rsidR="00535F31" w:rsidRPr="00C40BF8" w:rsidRDefault="009D6A2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Manual de funciones</w:t>
            </w:r>
          </w:p>
        </w:tc>
      </w:tr>
      <w:tr w:rsidR="00535F31" w:rsidRPr="00C40BF8" w:rsidTr="005F3404"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14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Habilitar herramientas tecnológicas para facilitar consultas sobre conflicto de interés</w:t>
            </w:r>
          </w:p>
        </w:tc>
        <w:tc>
          <w:tcPr>
            <w:tcW w:w="2977" w:type="dxa"/>
            <w:vAlign w:val="center"/>
          </w:tcPr>
          <w:p w:rsidR="00535F31" w:rsidRPr="00C40BF8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Uso de Herramientas tecnológicas</w:t>
            </w:r>
          </w:p>
        </w:tc>
        <w:tc>
          <w:tcPr>
            <w:tcW w:w="1559" w:type="dxa"/>
            <w:vAlign w:val="center"/>
          </w:tcPr>
          <w:p w:rsidR="009D6A29" w:rsidRDefault="009D6A2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</w:p>
          <w:p w:rsidR="00535F31" w:rsidRPr="00C40BF8" w:rsidRDefault="00ED45FA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Tecnologías de la Información y de las Comunicaciones</w:t>
            </w:r>
          </w:p>
        </w:tc>
        <w:tc>
          <w:tcPr>
            <w:tcW w:w="217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535F31" w:rsidRPr="00C40BF8" w:rsidTr="005F3404">
        <w:trPr>
          <w:trHeight w:val="2197"/>
        </w:trPr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lastRenderedPageBreak/>
              <w:t>15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Realiza</w:t>
            </w:r>
            <w:r w:rsidR="009D6A29">
              <w:rPr>
                <w:rFonts w:cs="Arial"/>
                <w:sz w:val="20"/>
                <w:szCs w:val="20"/>
                <w:lang w:val="es-CO"/>
              </w:rPr>
              <w:t>r estrategias de comunicación (Por diferentes medios</w:t>
            </w:r>
            <w:r>
              <w:rPr>
                <w:rFonts w:cs="Arial"/>
                <w:sz w:val="20"/>
                <w:szCs w:val="20"/>
                <w:lang w:val="es-CO"/>
              </w:rPr>
              <w:t>) y sensibilización, relacionados con política de integridad, Código de integridad del Servicio Público y gestiones preventivas en conflicto de interés.</w:t>
            </w:r>
          </w:p>
        </w:tc>
        <w:tc>
          <w:tcPr>
            <w:tcW w:w="2977" w:type="dxa"/>
            <w:vAlign w:val="center"/>
          </w:tcPr>
          <w:p w:rsidR="00535F31" w:rsidRPr="00C40BF8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Uso de Herramientas tecnológicas</w:t>
            </w:r>
          </w:p>
        </w:tc>
        <w:tc>
          <w:tcPr>
            <w:tcW w:w="1559" w:type="dxa"/>
            <w:vAlign w:val="center"/>
          </w:tcPr>
          <w:p w:rsidR="009D6A29" w:rsidRDefault="009D6A2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</w:p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Tecnologías de la Información y de las Comunicaciones</w:t>
            </w:r>
          </w:p>
        </w:tc>
        <w:tc>
          <w:tcPr>
            <w:tcW w:w="217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535F31" w:rsidRPr="00C40BF8" w:rsidTr="005F3404"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16</w:t>
            </w:r>
          </w:p>
        </w:tc>
        <w:tc>
          <w:tcPr>
            <w:tcW w:w="3191" w:type="dxa"/>
            <w:vAlign w:val="center"/>
          </w:tcPr>
          <w:p w:rsidR="00535F31" w:rsidRPr="005F3404" w:rsidRDefault="00535F31" w:rsidP="008F06E9">
            <w:pPr>
              <w:jc w:val="both"/>
              <w:rPr>
                <w:rFonts w:cs="Arial"/>
                <w:b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Implementar acciones </w:t>
            </w:r>
            <w:r w:rsidR="00ED45FA" w:rsidRPr="009D6A29">
              <w:rPr>
                <w:rFonts w:cs="Arial"/>
                <w:sz w:val="20"/>
                <w:szCs w:val="20"/>
                <w:lang w:val="es-CO"/>
              </w:rPr>
              <w:t>oportunidades de Mejoramiento</w:t>
            </w:r>
            <w:r w:rsidR="00ED45FA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Capacitación sobre la gestión de Conflicto de Interés, su declaración proactiva, </w:t>
            </w:r>
            <w:r w:rsidRPr="005F3404">
              <w:rPr>
                <w:rFonts w:cs="Arial"/>
                <w:sz w:val="20"/>
                <w:szCs w:val="20"/>
                <w:lang w:val="es-CO"/>
              </w:rPr>
              <w:t>en cumplimiento de la Ley 2013 de 2019 y</w:t>
            </w:r>
            <w:r w:rsidR="005F3404" w:rsidRPr="005F3404">
              <w:rPr>
                <w:rFonts w:cs="Arial"/>
                <w:sz w:val="20"/>
                <w:szCs w:val="20"/>
                <w:lang w:val="es-CO"/>
              </w:rPr>
              <w:t xml:space="preserve"> Decreto 830 de 2021: Define las normas para Personas Expuestas Políticamente (PEP) y su deber de transparencia</w:t>
            </w:r>
            <w:r w:rsidRPr="005F3404">
              <w:rPr>
                <w:rFonts w:cs="Arial"/>
                <w:sz w:val="20"/>
                <w:szCs w:val="20"/>
                <w:lang w:val="es-CO"/>
              </w:rPr>
              <w:t xml:space="preserve"> el trámite de los impedimentos y recusaciones de acuerdo con el artículo 12 de la Ley 1437 de 2011 a través del plan de Capacitaciones institucional</w:t>
            </w:r>
            <w:r w:rsidRPr="005F3404">
              <w:rPr>
                <w:rFonts w:cs="Arial"/>
                <w:b/>
                <w:sz w:val="20"/>
                <w:szCs w:val="20"/>
                <w:lang w:val="es-CO"/>
              </w:rPr>
              <w:t>.</w:t>
            </w:r>
          </w:p>
          <w:p w:rsidR="009D6A29" w:rsidRDefault="009D6A29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  <w:vAlign w:val="center"/>
          </w:tcPr>
          <w:p w:rsidR="00535F31" w:rsidRPr="00C40BF8" w:rsidRDefault="00535F31" w:rsidP="00F32B0B">
            <w:pPr>
              <w:tabs>
                <w:tab w:val="left" w:pos="290"/>
              </w:tabs>
              <w:spacing w:before="120" w:after="120"/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Sensibilización y capacitación</w:t>
            </w:r>
          </w:p>
        </w:tc>
        <w:tc>
          <w:tcPr>
            <w:tcW w:w="1559" w:type="dxa"/>
            <w:vAlign w:val="center"/>
          </w:tcPr>
          <w:p w:rsidR="00535F31" w:rsidRDefault="00535F31" w:rsidP="00F32B0B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  <w:r w:rsidR="00ED45FA">
              <w:rPr>
                <w:rFonts w:cs="Arial"/>
                <w:sz w:val="20"/>
                <w:szCs w:val="20"/>
                <w:lang w:val="es-CO"/>
              </w:rPr>
              <w:t>-</w:t>
            </w:r>
          </w:p>
          <w:p w:rsidR="00261874" w:rsidRPr="00C40BF8" w:rsidRDefault="009D6A29" w:rsidP="00F32B0B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Equipo asesor</w:t>
            </w:r>
          </w:p>
        </w:tc>
        <w:tc>
          <w:tcPr>
            <w:tcW w:w="217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Plan de Capacitaciones institucional</w:t>
            </w:r>
          </w:p>
        </w:tc>
      </w:tr>
      <w:tr w:rsidR="00ED45FA" w:rsidRPr="00C40BF8" w:rsidTr="005F3404">
        <w:tc>
          <w:tcPr>
            <w:tcW w:w="461" w:type="dxa"/>
            <w:vAlign w:val="center"/>
          </w:tcPr>
          <w:p w:rsidR="00ED45FA" w:rsidRDefault="00ED45FA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17</w:t>
            </w:r>
          </w:p>
        </w:tc>
        <w:tc>
          <w:tcPr>
            <w:tcW w:w="3191" w:type="dxa"/>
            <w:vAlign w:val="center"/>
          </w:tcPr>
          <w:p w:rsidR="00ED45FA" w:rsidRPr="008631D0" w:rsidRDefault="00ED45FA" w:rsidP="009D6A2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5F3404">
              <w:rPr>
                <w:rFonts w:cs="Arial"/>
                <w:sz w:val="20"/>
                <w:szCs w:val="20"/>
                <w:lang w:val="es-CO"/>
              </w:rPr>
              <w:t>Aplicar las acciones de mejoramiento y Realizar Seguimiento al Plan de Mejoramiento</w:t>
            </w:r>
          </w:p>
        </w:tc>
        <w:tc>
          <w:tcPr>
            <w:tcW w:w="2977" w:type="dxa"/>
            <w:vAlign w:val="center"/>
          </w:tcPr>
          <w:p w:rsidR="00F32B0B" w:rsidRPr="005F3404" w:rsidRDefault="00F32B0B" w:rsidP="005F3404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5F3404">
              <w:rPr>
                <w:rFonts w:cs="Arial"/>
                <w:sz w:val="20"/>
                <w:szCs w:val="20"/>
                <w:lang w:val="es-CO"/>
              </w:rPr>
              <w:t xml:space="preserve">El Jefe de Control Interno realiza seguimiento al Plan de Mejoramiento Institucional,(en forma independiente o a través de las auditorías internas) verificando el cumplimiento de las acciones propuestas y la eficacia de las mismas y realiza las recomendaciones a que haya lugar </w:t>
            </w:r>
          </w:p>
          <w:p w:rsidR="00ED45FA" w:rsidRPr="008631D0" w:rsidRDefault="00ED45FA" w:rsidP="00D421FA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559" w:type="dxa"/>
            <w:vAlign w:val="center"/>
          </w:tcPr>
          <w:p w:rsidR="00ED45FA" w:rsidRPr="004D2995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Jefe </w:t>
            </w:r>
            <w:r w:rsidR="00F32B0B">
              <w:rPr>
                <w:rFonts w:cs="Arial"/>
                <w:sz w:val="22"/>
                <w:szCs w:val="22"/>
                <w:lang w:val="es-CO"/>
              </w:rPr>
              <w:t xml:space="preserve">Oficina de 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>de Control Interno</w:t>
            </w:r>
            <w:r w:rsidR="00F32B0B">
              <w:rPr>
                <w:rFonts w:cs="Arial"/>
                <w:sz w:val="22"/>
                <w:szCs w:val="22"/>
                <w:lang w:val="es-CO"/>
              </w:rPr>
              <w:t xml:space="preserve"> o quien haga sus veces</w:t>
            </w:r>
          </w:p>
        </w:tc>
        <w:tc>
          <w:tcPr>
            <w:tcW w:w="2171" w:type="dxa"/>
            <w:vAlign w:val="center"/>
          </w:tcPr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 de seguimiento al plan de mejoramiento institucional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  <w:p w:rsidR="00ED45FA" w:rsidRPr="004D2995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</w:tbl>
    <w:p w:rsidR="00C925BE" w:rsidRDefault="00C925BE">
      <w:pPr>
        <w:rPr>
          <w:rFonts w:cs="Arial"/>
          <w:b/>
          <w:lang w:val="es-CO"/>
        </w:rPr>
      </w:pPr>
    </w:p>
    <w:p w:rsidR="005F3404" w:rsidRDefault="005F3404">
      <w:pPr>
        <w:rPr>
          <w:rFonts w:cs="Arial"/>
          <w:b/>
          <w:lang w:val="es-CO"/>
        </w:rPr>
      </w:pPr>
    </w:p>
    <w:p w:rsidR="005F3404" w:rsidRDefault="005F3404">
      <w:pPr>
        <w:rPr>
          <w:rFonts w:cs="Arial"/>
          <w:b/>
          <w:lang w:val="es-CO"/>
        </w:rPr>
      </w:pPr>
    </w:p>
    <w:p w:rsidR="005F3404" w:rsidRDefault="005F3404">
      <w:pPr>
        <w:rPr>
          <w:rFonts w:cs="Arial"/>
          <w:b/>
          <w:lang w:val="es-CO"/>
        </w:rPr>
      </w:pPr>
    </w:p>
    <w:p w:rsidR="005F3404" w:rsidRPr="009457ED" w:rsidRDefault="005F3404">
      <w:pPr>
        <w:rPr>
          <w:rFonts w:cs="Arial"/>
          <w:b/>
          <w:lang w:val="es-CO"/>
        </w:rPr>
      </w:pPr>
    </w:p>
    <w:p w:rsidR="004B4420" w:rsidRDefault="00836861">
      <w:pPr>
        <w:rPr>
          <w:rFonts w:cs="Arial"/>
          <w:b/>
        </w:rPr>
      </w:pPr>
      <w:r>
        <w:rPr>
          <w:rFonts w:cs="Arial"/>
          <w:b/>
        </w:rPr>
        <w:t xml:space="preserve">8. </w:t>
      </w:r>
      <w:r w:rsidR="00A42C77">
        <w:rPr>
          <w:rFonts w:cs="Arial"/>
          <w:b/>
        </w:rPr>
        <w:t xml:space="preserve">CONTROL INFORMACIÓN DOCUMENTADA </w:t>
      </w:r>
    </w:p>
    <w:p w:rsidR="00182705" w:rsidRDefault="00182705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417"/>
        <w:gridCol w:w="1843"/>
        <w:gridCol w:w="1534"/>
        <w:gridCol w:w="1445"/>
        <w:gridCol w:w="1351"/>
        <w:gridCol w:w="1290"/>
      </w:tblGrid>
      <w:tr w:rsidR="00182705" w:rsidRPr="00890481" w:rsidTr="00D75CDC">
        <w:trPr>
          <w:cantSplit/>
          <w:tblHeader/>
        </w:trPr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Registro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</w:rPr>
              <w:t xml:space="preserve">Lugar de </w:t>
            </w: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Almacenamiento</w:t>
            </w:r>
          </w:p>
        </w:tc>
        <w:tc>
          <w:tcPr>
            <w:tcW w:w="1534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Recuperación</w:t>
            </w:r>
          </w:p>
        </w:tc>
        <w:tc>
          <w:tcPr>
            <w:tcW w:w="1445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Protección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Tiempo</w:t>
            </w:r>
            <w:r w:rsidRPr="00890481">
              <w:rPr>
                <w:rFonts w:cs="Arial"/>
                <w:b/>
                <w:sz w:val="20"/>
                <w:szCs w:val="20"/>
              </w:rPr>
              <w:t xml:space="preserve"> de </w:t>
            </w: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Retención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Disposición</w:t>
            </w:r>
            <w:r w:rsidRPr="00890481">
              <w:rPr>
                <w:rFonts w:cs="Arial"/>
                <w:b/>
                <w:sz w:val="20"/>
                <w:szCs w:val="20"/>
              </w:rPr>
              <w:t xml:space="preserve"> Final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Encuestas de evaluación del SCI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Responsible, Aplicativo DAFP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Carpeta Evaluación del SCI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Aplicativo DAFP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No Aplica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No Aplica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Informe Ejecutivo Anual del Sistema de Control Interno</w:t>
            </w:r>
          </w:p>
        </w:tc>
        <w:tc>
          <w:tcPr>
            <w:tcW w:w="1417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Auditores</w:t>
            </w:r>
            <w:r w:rsidR="00A42C77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Internos</w:t>
            </w: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Responsible, Aplicativo DAFP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Carpeta Evaluación del SCI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Aplicativo DAFP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 xml:space="preserve">Archivos de Uso del Responsable 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 años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Certificado de evaluación del SCI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Responsible, Aplicativo DAFP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Carpeta Evaluación del SCI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Aplicativo DAFP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No Aplica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9457ED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FG 03</w:t>
            </w:r>
            <w:r w:rsidR="001D106E" w:rsidRPr="00890481">
              <w:rPr>
                <w:rFonts w:cs="Arial"/>
                <w:sz w:val="20"/>
                <w:szCs w:val="20"/>
                <w:lang w:val="es-CO"/>
              </w:rPr>
              <w:t xml:space="preserve"> Acta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 xml:space="preserve">Oficina del </w:t>
            </w:r>
            <w:r w:rsidR="005F3404" w:rsidRPr="00890481">
              <w:rPr>
                <w:rFonts w:cs="Arial"/>
                <w:bCs/>
                <w:sz w:val="20"/>
                <w:szCs w:val="20"/>
              </w:rPr>
              <w:t>Responsible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Carpeta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Actas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por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tipo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Archivos en custodia del Responsable</w:t>
            </w:r>
          </w:p>
        </w:tc>
        <w:tc>
          <w:tcPr>
            <w:tcW w:w="1351" w:type="dxa"/>
            <w:vMerge w:val="restart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El establecido en la tabla de Retención Documental</w:t>
            </w:r>
          </w:p>
        </w:tc>
        <w:tc>
          <w:tcPr>
            <w:tcW w:w="1290" w:type="dxa"/>
            <w:vMerge w:val="restart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Informe Cuatrimestral del Estado del Sistema de Control Interno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9457ED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 xml:space="preserve">PC </w:t>
            </w:r>
            <w:r w:rsidR="005F3404">
              <w:rPr>
                <w:rFonts w:cs="Arial"/>
                <w:bCs/>
                <w:sz w:val="20"/>
                <w:szCs w:val="20"/>
              </w:rPr>
              <w:t xml:space="preserve">Responsible </w:t>
            </w:r>
            <w:r w:rsidRPr="00890481">
              <w:rPr>
                <w:rFonts w:cs="Arial"/>
                <w:bCs/>
                <w:sz w:val="20"/>
                <w:szCs w:val="20"/>
              </w:rPr>
              <w:t>Pá</w:t>
            </w:r>
            <w:r w:rsidR="001D106E" w:rsidRPr="00890481">
              <w:rPr>
                <w:rFonts w:cs="Arial"/>
                <w:bCs/>
                <w:sz w:val="20"/>
                <w:szCs w:val="20"/>
              </w:rPr>
              <w:t>gina Web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 xml:space="preserve">Carpeta Evaluación del SCI, </w:t>
            </w:r>
            <w:r w:rsidRPr="00890481">
              <w:rPr>
                <w:rFonts w:cs="Arial"/>
                <w:bCs/>
                <w:sz w:val="20"/>
                <w:szCs w:val="20"/>
                <w:lang w:val="es-CO"/>
              </w:rPr>
              <w:t>Pagina Web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Archivos en custodia del Responsable Backup’s Claves de Acceso</w:t>
            </w:r>
          </w:p>
        </w:tc>
        <w:tc>
          <w:tcPr>
            <w:tcW w:w="1351" w:type="dxa"/>
            <w:vMerge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290" w:type="dxa"/>
            <w:vMerge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A42C77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 xml:space="preserve">FEM-04 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Plan de mejoramiento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Responsable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Carpeta</w:t>
            </w:r>
            <w:r w:rsidR="00901F57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Mejoramiento continuo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 años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Destruir</w:t>
            </w:r>
          </w:p>
        </w:tc>
      </w:tr>
      <w:tr w:rsidR="00A42C77" w:rsidRPr="00890481" w:rsidTr="00D75CDC">
        <w:tc>
          <w:tcPr>
            <w:tcW w:w="1423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FPI-04</w:t>
            </w:r>
          </w:p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 xml:space="preserve">Mapa de Riesgos </w:t>
            </w:r>
          </w:p>
        </w:tc>
        <w:tc>
          <w:tcPr>
            <w:tcW w:w="1417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Interno</w:t>
            </w:r>
          </w:p>
        </w:tc>
        <w:tc>
          <w:tcPr>
            <w:tcW w:w="1843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</w:t>
            </w:r>
          </w:p>
        </w:tc>
        <w:tc>
          <w:tcPr>
            <w:tcW w:w="1534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Carpeta SGC</w:t>
            </w:r>
          </w:p>
        </w:tc>
        <w:tc>
          <w:tcPr>
            <w:tcW w:w="1445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 años</w:t>
            </w:r>
          </w:p>
        </w:tc>
        <w:tc>
          <w:tcPr>
            <w:tcW w:w="1290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Destruir</w:t>
            </w:r>
          </w:p>
        </w:tc>
      </w:tr>
    </w:tbl>
    <w:p w:rsidR="00182705" w:rsidRDefault="00182705">
      <w:pPr>
        <w:rPr>
          <w:rFonts w:cs="Arial"/>
          <w:b/>
        </w:rPr>
      </w:pPr>
    </w:p>
    <w:p w:rsidR="00D75CDC" w:rsidRDefault="00D75CDC" w:rsidP="00D75CDC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D75CDC" w:rsidRDefault="00D75CDC" w:rsidP="00D75CDC">
      <w:pPr>
        <w:rPr>
          <w:rFonts w:cs="Arial"/>
          <w:b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260"/>
      </w:tblGrid>
      <w:tr w:rsidR="00D75CDC" w:rsidRPr="00890481" w:rsidTr="00960C6A">
        <w:trPr>
          <w:trHeight w:val="588"/>
        </w:trPr>
        <w:tc>
          <w:tcPr>
            <w:tcW w:w="1101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Fecha</w:t>
            </w:r>
            <w:r w:rsidRPr="00890481">
              <w:rPr>
                <w:rFonts w:cs="Arial"/>
                <w:sz w:val="20"/>
                <w:szCs w:val="20"/>
              </w:rPr>
              <w:t>[dd/mm/aaaa]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Revisó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Aprobó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Razón</w:t>
            </w:r>
            <w:r w:rsidRPr="00890481">
              <w:rPr>
                <w:rFonts w:cs="Arial"/>
                <w:b/>
                <w:sz w:val="20"/>
                <w:szCs w:val="20"/>
              </w:rPr>
              <w:t xml:space="preserve"> de la </w:t>
            </w: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actualización</w:t>
            </w:r>
          </w:p>
        </w:tc>
      </w:tr>
      <w:tr w:rsidR="00D75CDC" w:rsidRPr="00890481" w:rsidTr="00960C6A">
        <w:trPr>
          <w:trHeight w:val="500"/>
        </w:trPr>
        <w:tc>
          <w:tcPr>
            <w:tcW w:w="1101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75CDC" w:rsidRPr="00890481" w:rsidRDefault="00646119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 xml:space="preserve">Junio 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17 </w:t>
            </w:r>
            <w:r w:rsidRPr="00890481">
              <w:rPr>
                <w:rFonts w:cs="Arial"/>
                <w:sz w:val="20"/>
                <w:szCs w:val="20"/>
              </w:rPr>
              <w:t>de 2024</w:t>
            </w:r>
          </w:p>
        </w:tc>
        <w:tc>
          <w:tcPr>
            <w:tcW w:w="2126" w:type="dxa"/>
            <w:vAlign w:val="center"/>
          </w:tcPr>
          <w:p w:rsidR="00D75CDC" w:rsidRPr="00890481" w:rsidRDefault="00901F57" w:rsidP="00A073B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890481">
              <w:rPr>
                <w:rFonts w:cs="Arial"/>
                <w:sz w:val="20"/>
                <w:szCs w:val="20"/>
                <w:lang w:val="de-DE"/>
              </w:rPr>
              <w:t>Arley de J Ramírez Patiño</w:t>
            </w:r>
            <w:r w:rsidR="00D75CDC" w:rsidRPr="00890481">
              <w:rPr>
                <w:rFonts w:cs="Arial"/>
                <w:sz w:val="20"/>
                <w:szCs w:val="20"/>
                <w:lang w:val="de-DE"/>
              </w:rPr>
              <w:t>– Jefe de Control Interno</w:t>
            </w:r>
          </w:p>
        </w:tc>
        <w:tc>
          <w:tcPr>
            <w:tcW w:w="2268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Comité de Calidad</w:t>
            </w:r>
          </w:p>
        </w:tc>
        <w:tc>
          <w:tcPr>
            <w:tcW w:w="3260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Elaboración del documento</w:t>
            </w:r>
          </w:p>
        </w:tc>
      </w:tr>
      <w:tr w:rsidR="00901F57" w:rsidRPr="00890481" w:rsidTr="00A61279">
        <w:trPr>
          <w:trHeight w:val="500"/>
        </w:trPr>
        <w:tc>
          <w:tcPr>
            <w:tcW w:w="1101" w:type="dxa"/>
            <w:vAlign w:val="center"/>
          </w:tcPr>
          <w:p w:rsidR="00901F57" w:rsidRPr="00890481" w:rsidRDefault="00901F57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901F57" w:rsidRPr="00890481" w:rsidRDefault="00646119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Junio de 2024</w:t>
            </w:r>
          </w:p>
        </w:tc>
        <w:tc>
          <w:tcPr>
            <w:tcW w:w="2126" w:type="dxa"/>
          </w:tcPr>
          <w:p w:rsidR="00901F57" w:rsidRPr="00890481" w:rsidRDefault="009D6A29" w:rsidP="00D421FA">
            <w:pPr>
              <w:rPr>
                <w:rFonts w:cs="Arial"/>
                <w:color w:val="000000"/>
                <w:sz w:val="20"/>
                <w:szCs w:val="20"/>
              </w:rPr>
            </w:pPr>
            <w:r w:rsidRPr="00890481">
              <w:rPr>
                <w:rFonts w:cs="Arial"/>
                <w:color w:val="000000"/>
                <w:sz w:val="20"/>
                <w:szCs w:val="20"/>
              </w:rPr>
              <w:t xml:space="preserve">Personero </w:t>
            </w:r>
            <w:r w:rsidR="00901F57" w:rsidRPr="00890481">
              <w:rPr>
                <w:rFonts w:cs="Arial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2268" w:type="dxa"/>
          </w:tcPr>
          <w:p w:rsidR="00901F57" w:rsidRPr="00890481" w:rsidRDefault="00901F57" w:rsidP="00D421FA">
            <w:pPr>
              <w:rPr>
                <w:rFonts w:cs="Arial"/>
                <w:color w:val="000000"/>
                <w:sz w:val="20"/>
                <w:szCs w:val="20"/>
              </w:rPr>
            </w:pPr>
            <w:r w:rsidRPr="00890481">
              <w:rPr>
                <w:rFonts w:cs="Arial"/>
                <w:color w:val="000000"/>
                <w:sz w:val="20"/>
                <w:szCs w:val="20"/>
              </w:rPr>
              <w:t xml:space="preserve">Comité </w:t>
            </w:r>
            <w:r w:rsidR="001D42BC" w:rsidRPr="00890481">
              <w:rPr>
                <w:rFonts w:cs="Arial"/>
                <w:color w:val="000000"/>
                <w:sz w:val="20"/>
                <w:szCs w:val="20"/>
              </w:rPr>
              <w:t>Institutional</w:t>
            </w:r>
            <w:r w:rsidRPr="00890481">
              <w:rPr>
                <w:rFonts w:cs="Arial"/>
                <w:color w:val="000000"/>
                <w:sz w:val="20"/>
                <w:szCs w:val="20"/>
              </w:rPr>
              <w:t xml:space="preserve"> de Gestión y Desempeño</w:t>
            </w:r>
          </w:p>
        </w:tc>
        <w:tc>
          <w:tcPr>
            <w:tcW w:w="3260" w:type="dxa"/>
            <w:vAlign w:val="center"/>
          </w:tcPr>
          <w:p w:rsidR="00901F57" w:rsidRPr="00890481" w:rsidRDefault="00901F57" w:rsidP="00A073BD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</w:tbl>
    <w:p w:rsidR="00D75CDC" w:rsidRPr="009457ED" w:rsidRDefault="00D75CDC" w:rsidP="00D75CDC">
      <w:pPr>
        <w:rPr>
          <w:rFonts w:cs="Arial"/>
          <w:b/>
          <w:lang w:val="es-CO"/>
        </w:rPr>
      </w:pPr>
    </w:p>
    <w:p w:rsidR="00D75CDC" w:rsidRPr="009457ED" w:rsidRDefault="00D75CDC">
      <w:pPr>
        <w:rPr>
          <w:rFonts w:cs="Arial"/>
          <w:lang w:val="es-CO"/>
        </w:rPr>
      </w:pPr>
    </w:p>
    <w:sectPr w:rsidR="00D75CDC" w:rsidRPr="009457ED" w:rsidSect="0099602F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6DB" w:rsidRDefault="00C826DB" w:rsidP="004B4420">
      <w:r>
        <w:separator/>
      </w:r>
    </w:p>
  </w:endnote>
  <w:endnote w:type="continuationSeparator" w:id="0">
    <w:p w:rsidR="00C826DB" w:rsidRDefault="00C826DB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9602F" w:rsidRPr="00E25F48" w:rsidTr="008F0985">
      <w:tc>
        <w:tcPr>
          <w:tcW w:w="5796" w:type="dxa"/>
          <w:shd w:val="clear" w:color="auto" w:fill="auto"/>
        </w:tcPr>
        <w:p w:rsidR="0099602F" w:rsidRPr="00E25F48" w:rsidRDefault="0099602F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9602F" w:rsidRPr="00E25F48" w:rsidRDefault="0099602F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2554" w:rsidRPr="0099602F" w:rsidRDefault="008E2554" w:rsidP="0099602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6DB" w:rsidRDefault="00C826DB" w:rsidP="004B4420">
      <w:r>
        <w:separator/>
      </w:r>
    </w:p>
  </w:footnote>
  <w:footnote w:type="continuationSeparator" w:id="0">
    <w:p w:rsidR="00C826DB" w:rsidRDefault="00C826DB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1D106E" w:rsidTr="00A72E56">
      <w:trPr>
        <w:trHeight w:hRule="exact" w:val="397"/>
      </w:trPr>
      <w:tc>
        <w:tcPr>
          <w:tcW w:w="2694" w:type="dxa"/>
          <w:vMerge w:val="restart"/>
        </w:tcPr>
        <w:p w:rsidR="001D106E" w:rsidRDefault="007C0935" w:rsidP="00A72E56">
          <w:r>
            <w:rPr>
              <w:noProof/>
              <w:lang w:val="es-ES" w:eastAsia="es-ES"/>
            </w:rPr>
            <w:drawing>
              <wp:inline distT="0" distB="0" distL="0" distR="0">
                <wp:extent cx="1524000" cy="647700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1D106E" w:rsidRPr="00AB2110" w:rsidRDefault="00AB2110" w:rsidP="00891516">
          <w:pPr>
            <w:jc w:val="center"/>
            <w:rPr>
              <w:rFonts w:cs="Arial"/>
              <w:lang w:val="es-CO"/>
            </w:rPr>
          </w:pPr>
          <w:r w:rsidRPr="00AB2110">
            <w:rPr>
              <w:bCs/>
              <w:lang w:val="es-CO"/>
            </w:rPr>
            <w:t>PROCEDIMIENTO INTERNO PARA EL MANEJO Y DECLARACIÓN DEL CONFLICTO DE INTERÉS</w:t>
          </w:r>
        </w:p>
      </w:tc>
      <w:tc>
        <w:tcPr>
          <w:tcW w:w="2141" w:type="dxa"/>
          <w:vAlign w:val="center"/>
        </w:tcPr>
        <w:p w:rsidR="001D106E" w:rsidRPr="008A4DC4" w:rsidRDefault="001D106E" w:rsidP="00AB211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 xml:space="preserve">: </w:t>
          </w:r>
        </w:p>
      </w:tc>
    </w:tr>
    <w:tr w:rsidR="001D106E" w:rsidTr="00A72E56">
      <w:trPr>
        <w:trHeight w:hRule="exact" w:val="397"/>
      </w:trPr>
      <w:tc>
        <w:tcPr>
          <w:tcW w:w="2694" w:type="dxa"/>
          <w:vMerge/>
        </w:tcPr>
        <w:p w:rsidR="001D106E" w:rsidRDefault="001D106E" w:rsidP="00A72E56"/>
      </w:tc>
      <w:tc>
        <w:tcPr>
          <w:tcW w:w="5528" w:type="dxa"/>
          <w:vMerge/>
        </w:tcPr>
        <w:p w:rsidR="001D106E" w:rsidRPr="008A4DC4" w:rsidRDefault="001D106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D106E" w:rsidRPr="008A4DC4" w:rsidRDefault="001D106E" w:rsidP="00AB211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</w:p>
      </w:tc>
    </w:tr>
    <w:tr w:rsidR="001D106E" w:rsidTr="00A72E56">
      <w:trPr>
        <w:trHeight w:hRule="exact" w:val="397"/>
      </w:trPr>
      <w:tc>
        <w:tcPr>
          <w:tcW w:w="2694" w:type="dxa"/>
          <w:vMerge/>
        </w:tcPr>
        <w:p w:rsidR="001D106E" w:rsidRDefault="001D106E" w:rsidP="00A72E56"/>
      </w:tc>
      <w:tc>
        <w:tcPr>
          <w:tcW w:w="5528" w:type="dxa"/>
          <w:vMerge/>
        </w:tcPr>
        <w:p w:rsidR="001D106E" w:rsidRPr="008A4DC4" w:rsidRDefault="001D106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D106E" w:rsidRPr="008A4DC4" w:rsidRDefault="001D106E" w:rsidP="00AB211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 w:rsidR="00B87992">
            <w:rPr>
              <w:rFonts w:cs="Arial"/>
              <w:sz w:val="22"/>
              <w:szCs w:val="22"/>
            </w:rPr>
            <w:t xml:space="preserve">: </w:t>
          </w:r>
        </w:p>
      </w:tc>
    </w:tr>
  </w:tbl>
  <w:p w:rsidR="001D106E" w:rsidRDefault="001D1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3E4"/>
    <w:multiLevelType w:val="hybridMultilevel"/>
    <w:tmpl w:val="873207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087304"/>
    <w:multiLevelType w:val="hybridMultilevel"/>
    <w:tmpl w:val="6BFC33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43074"/>
    <w:multiLevelType w:val="multilevel"/>
    <w:tmpl w:val="2544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30B39"/>
    <w:rsid w:val="00031E09"/>
    <w:rsid w:val="000A78C9"/>
    <w:rsid w:val="000E1602"/>
    <w:rsid w:val="001211D8"/>
    <w:rsid w:val="00123BF4"/>
    <w:rsid w:val="00124A41"/>
    <w:rsid w:val="0012588D"/>
    <w:rsid w:val="00133004"/>
    <w:rsid w:val="0015320A"/>
    <w:rsid w:val="0015633E"/>
    <w:rsid w:val="00160B3C"/>
    <w:rsid w:val="00177BFF"/>
    <w:rsid w:val="00181210"/>
    <w:rsid w:val="00182705"/>
    <w:rsid w:val="00193BDF"/>
    <w:rsid w:val="001A0DA3"/>
    <w:rsid w:val="001A1A35"/>
    <w:rsid w:val="001A7166"/>
    <w:rsid w:val="001A7B2E"/>
    <w:rsid w:val="001B51E6"/>
    <w:rsid w:val="001B5F58"/>
    <w:rsid w:val="001B6A67"/>
    <w:rsid w:val="001B78C6"/>
    <w:rsid w:val="001D106E"/>
    <w:rsid w:val="001D42BC"/>
    <w:rsid w:val="001E33A5"/>
    <w:rsid w:val="001E7A2E"/>
    <w:rsid w:val="00203A1B"/>
    <w:rsid w:val="00204802"/>
    <w:rsid w:val="00212CB7"/>
    <w:rsid w:val="00216406"/>
    <w:rsid w:val="00225725"/>
    <w:rsid w:val="00230188"/>
    <w:rsid w:val="00234283"/>
    <w:rsid w:val="002466B2"/>
    <w:rsid w:val="00261874"/>
    <w:rsid w:val="00296F17"/>
    <w:rsid w:val="00297107"/>
    <w:rsid w:val="002A536B"/>
    <w:rsid w:val="002C0AD5"/>
    <w:rsid w:val="002C6197"/>
    <w:rsid w:val="002D5B56"/>
    <w:rsid w:val="002E721B"/>
    <w:rsid w:val="00310421"/>
    <w:rsid w:val="003129F5"/>
    <w:rsid w:val="00316DDB"/>
    <w:rsid w:val="00324E57"/>
    <w:rsid w:val="00342226"/>
    <w:rsid w:val="00361D2A"/>
    <w:rsid w:val="00363D80"/>
    <w:rsid w:val="00367E85"/>
    <w:rsid w:val="00375757"/>
    <w:rsid w:val="00377423"/>
    <w:rsid w:val="003A1E5C"/>
    <w:rsid w:val="003B3C9D"/>
    <w:rsid w:val="003B7E83"/>
    <w:rsid w:val="003E6A43"/>
    <w:rsid w:val="003F6102"/>
    <w:rsid w:val="0040293A"/>
    <w:rsid w:val="00417210"/>
    <w:rsid w:val="00427A85"/>
    <w:rsid w:val="004603EC"/>
    <w:rsid w:val="00463567"/>
    <w:rsid w:val="00465FF8"/>
    <w:rsid w:val="004718AC"/>
    <w:rsid w:val="00473A1E"/>
    <w:rsid w:val="004A1330"/>
    <w:rsid w:val="004A2B0D"/>
    <w:rsid w:val="004A77E6"/>
    <w:rsid w:val="004B2D23"/>
    <w:rsid w:val="004B4420"/>
    <w:rsid w:val="004C37B8"/>
    <w:rsid w:val="004D2995"/>
    <w:rsid w:val="004D4728"/>
    <w:rsid w:val="004F4380"/>
    <w:rsid w:val="00511C08"/>
    <w:rsid w:val="005156F3"/>
    <w:rsid w:val="00517F11"/>
    <w:rsid w:val="00520282"/>
    <w:rsid w:val="00523F59"/>
    <w:rsid w:val="00535F31"/>
    <w:rsid w:val="00546F99"/>
    <w:rsid w:val="00550791"/>
    <w:rsid w:val="00552177"/>
    <w:rsid w:val="005521BD"/>
    <w:rsid w:val="00580F25"/>
    <w:rsid w:val="00593602"/>
    <w:rsid w:val="005A34E5"/>
    <w:rsid w:val="005B5303"/>
    <w:rsid w:val="005C0097"/>
    <w:rsid w:val="005C641B"/>
    <w:rsid w:val="005D4CED"/>
    <w:rsid w:val="005E0332"/>
    <w:rsid w:val="005F3404"/>
    <w:rsid w:val="005F59CA"/>
    <w:rsid w:val="0060454F"/>
    <w:rsid w:val="00615EF3"/>
    <w:rsid w:val="00624B67"/>
    <w:rsid w:val="006325BC"/>
    <w:rsid w:val="00641E82"/>
    <w:rsid w:val="00646119"/>
    <w:rsid w:val="006546C7"/>
    <w:rsid w:val="00667C08"/>
    <w:rsid w:val="00680998"/>
    <w:rsid w:val="0068625C"/>
    <w:rsid w:val="00687B4E"/>
    <w:rsid w:val="006C3E7E"/>
    <w:rsid w:val="006E1519"/>
    <w:rsid w:val="006E20F2"/>
    <w:rsid w:val="006F1C73"/>
    <w:rsid w:val="007020C9"/>
    <w:rsid w:val="007132D5"/>
    <w:rsid w:val="00717FF3"/>
    <w:rsid w:val="00730E51"/>
    <w:rsid w:val="00757CEB"/>
    <w:rsid w:val="00766122"/>
    <w:rsid w:val="0076625B"/>
    <w:rsid w:val="00786614"/>
    <w:rsid w:val="007909E4"/>
    <w:rsid w:val="007B1BDE"/>
    <w:rsid w:val="007C0935"/>
    <w:rsid w:val="007C4F8F"/>
    <w:rsid w:val="007F21D8"/>
    <w:rsid w:val="007F3C0B"/>
    <w:rsid w:val="007F5AF8"/>
    <w:rsid w:val="0080278E"/>
    <w:rsid w:val="00836861"/>
    <w:rsid w:val="008503F8"/>
    <w:rsid w:val="00854F30"/>
    <w:rsid w:val="008631D0"/>
    <w:rsid w:val="00863BFC"/>
    <w:rsid w:val="00890481"/>
    <w:rsid w:val="00891516"/>
    <w:rsid w:val="00893C0A"/>
    <w:rsid w:val="008A238E"/>
    <w:rsid w:val="008A41BE"/>
    <w:rsid w:val="008A4EF5"/>
    <w:rsid w:val="008B3F39"/>
    <w:rsid w:val="008C7D62"/>
    <w:rsid w:val="008E20F8"/>
    <w:rsid w:val="008E2554"/>
    <w:rsid w:val="008E7B2A"/>
    <w:rsid w:val="008F06E9"/>
    <w:rsid w:val="00901F57"/>
    <w:rsid w:val="00915842"/>
    <w:rsid w:val="00915908"/>
    <w:rsid w:val="00922778"/>
    <w:rsid w:val="009232E2"/>
    <w:rsid w:val="009233F9"/>
    <w:rsid w:val="009457ED"/>
    <w:rsid w:val="009531A3"/>
    <w:rsid w:val="00960C6A"/>
    <w:rsid w:val="00961267"/>
    <w:rsid w:val="00963C05"/>
    <w:rsid w:val="00976249"/>
    <w:rsid w:val="009874F8"/>
    <w:rsid w:val="00990F46"/>
    <w:rsid w:val="00993C4E"/>
    <w:rsid w:val="0099602F"/>
    <w:rsid w:val="009C1231"/>
    <w:rsid w:val="009D6355"/>
    <w:rsid w:val="009D6A29"/>
    <w:rsid w:val="009E4D5B"/>
    <w:rsid w:val="009F7000"/>
    <w:rsid w:val="00A041BC"/>
    <w:rsid w:val="00A27BD5"/>
    <w:rsid w:val="00A3215F"/>
    <w:rsid w:val="00A42C77"/>
    <w:rsid w:val="00A43259"/>
    <w:rsid w:val="00A437FF"/>
    <w:rsid w:val="00A47DF6"/>
    <w:rsid w:val="00A72E56"/>
    <w:rsid w:val="00A8296C"/>
    <w:rsid w:val="00A850D6"/>
    <w:rsid w:val="00A935E6"/>
    <w:rsid w:val="00A93D6E"/>
    <w:rsid w:val="00AB2110"/>
    <w:rsid w:val="00AB3CC0"/>
    <w:rsid w:val="00AB703E"/>
    <w:rsid w:val="00AB77C6"/>
    <w:rsid w:val="00AC4F1D"/>
    <w:rsid w:val="00AD1B68"/>
    <w:rsid w:val="00AE0D25"/>
    <w:rsid w:val="00AF5525"/>
    <w:rsid w:val="00B46EE6"/>
    <w:rsid w:val="00B735A6"/>
    <w:rsid w:val="00B83863"/>
    <w:rsid w:val="00B86E8F"/>
    <w:rsid w:val="00B87992"/>
    <w:rsid w:val="00BA3A39"/>
    <w:rsid w:val="00BB7ED1"/>
    <w:rsid w:val="00BC1BF3"/>
    <w:rsid w:val="00BE1D31"/>
    <w:rsid w:val="00BF5155"/>
    <w:rsid w:val="00C03D20"/>
    <w:rsid w:val="00C274A3"/>
    <w:rsid w:val="00C35073"/>
    <w:rsid w:val="00C35249"/>
    <w:rsid w:val="00C40BF8"/>
    <w:rsid w:val="00C5222A"/>
    <w:rsid w:val="00C53C91"/>
    <w:rsid w:val="00C7632A"/>
    <w:rsid w:val="00C826DB"/>
    <w:rsid w:val="00C925BE"/>
    <w:rsid w:val="00CB15D2"/>
    <w:rsid w:val="00CC7275"/>
    <w:rsid w:val="00CE4B3D"/>
    <w:rsid w:val="00CE70C6"/>
    <w:rsid w:val="00CF6C07"/>
    <w:rsid w:val="00D17647"/>
    <w:rsid w:val="00D25AC8"/>
    <w:rsid w:val="00D31666"/>
    <w:rsid w:val="00D44FD3"/>
    <w:rsid w:val="00D757A8"/>
    <w:rsid w:val="00D75CDC"/>
    <w:rsid w:val="00D7749B"/>
    <w:rsid w:val="00DB6BDF"/>
    <w:rsid w:val="00DC5EA8"/>
    <w:rsid w:val="00DC7917"/>
    <w:rsid w:val="00DE5E30"/>
    <w:rsid w:val="00DF05A5"/>
    <w:rsid w:val="00DF7BDB"/>
    <w:rsid w:val="00E05B67"/>
    <w:rsid w:val="00E20DBB"/>
    <w:rsid w:val="00E2409C"/>
    <w:rsid w:val="00E43FF4"/>
    <w:rsid w:val="00E529A5"/>
    <w:rsid w:val="00E5786E"/>
    <w:rsid w:val="00E912EC"/>
    <w:rsid w:val="00E93968"/>
    <w:rsid w:val="00E94031"/>
    <w:rsid w:val="00EC2546"/>
    <w:rsid w:val="00ED4125"/>
    <w:rsid w:val="00ED45FA"/>
    <w:rsid w:val="00EF55C8"/>
    <w:rsid w:val="00F04206"/>
    <w:rsid w:val="00F07F1E"/>
    <w:rsid w:val="00F21A72"/>
    <w:rsid w:val="00F273F5"/>
    <w:rsid w:val="00F32B0B"/>
    <w:rsid w:val="00F346A7"/>
    <w:rsid w:val="00F351A8"/>
    <w:rsid w:val="00F4150D"/>
    <w:rsid w:val="00F4646A"/>
    <w:rsid w:val="00F54EC5"/>
    <w:rsid w:val="00F82EA1"/>
    <w:rsid w:val="00F876F0"/>
    <w:rsid w:val="00F909C7"/>
    <w:rsid w:val="00F9430A"/>
    <w:rsid w:val="00F9441B"/>
    <w:rsid w:val="00FA24B8"/>
    <w:rsid w:val="00FA2E3A"/>
    <w:rsid w:val="00FA67CD"/>
    <w:rsid w:val="00FB45E2"/>
    <w:rsid w:val="00FB5BF0"/>
    <w:rsid w:val="00FB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5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554"/>
    <w:rPr>
      <w:rFonts w:ascii="Tahoma" w:eastAsia="Times New Roman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5E0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2182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98528554</cp:lastModifiedBy>
  <cp:revision>6</cp:revision>
  <cp:lastPrinted>2014-12-23T02:51:00Z</cp:lastPrinted>
  <dcterms:created xsi:type="dcterms:W3CDTF">2025-12-16T20:40:00Z</dcterms:created>
  <dcterms:modified xsi:type="dcterms:W3CDTF">2026-03-17T21:02:00Z</dcterms:modified>
</cp:coreProperties>
</file>